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E2B" w:rsidRPr="00A20895" w:rsidRDefault="00E36E2B" w:rsidP="00E36E2B">
      <w:pPr>
        <w:jc w:val="center"/>
        <w:rPr>
          <w:rFonts w:ascii="Arial" w:hAnsi="Arial"/>
          <w:b/>
          <w:sz w:val="32"/>
          <w:szCs w:val="32"/>
        </w:rPr>
      </w:pPr>
      <w:bookmarkStart w:id="0" w:name="_GoBack"/>
      <w:bookmarkEnd w:id="0"/>
      <w:r w:rsidRPr="00A20895">
        <w:rPr>
          <w:rFonts w:ascii="Arial" w:hAnsi="Arial"/>
          <w:b/>
          <w:sz w:val="32"/>
          <w:szCs w:val="32"/>
        </w:rPr>
        <w:t>I singoli indicatori e le classifiche</w:t>
      </w:r>
    </w:p>
    <w:p w:rsidR="00E36E2B" w:rsidRPr="00A20895" w:rsidRDefault="00E36E2B" w:rsidP="00E36E2B">
      <w:pPr>
        <w:jc w:val="center"/>
        <w:rPr>
          <w:rFonts w:ascii="Arial" w:hAnsi="Arial"/>
          <w:b/>
          <w:sz w:val="32"/>
          <w:szCs w:val="32"/>
        </w:rPr>
      </w:pPr>
    </w:p>
    <w:p w:rsidR="00E36E2B" w:rsidRPr="00A20895" w:rsidRDefault="00E36E2B" w:rsidP="00E36E2B">
      <w:pPr>
        <w:jc w:val="both"/>
        <w:rPr>
          <w:rFonts w:ascii="Arial" w:hAnsi="Arial"/>
          <w:sz w:val="10"/>
          <w:szCs w:val="10"/>
        </w:rPr>
      </w:pPr>
    </w:p>
    <w:p w:rsidR="00E36E2B" w:rsidRPr="00A20895" w:rsidRDefault="00E36E2B" w:rsidP="00E36E2B">
      <w:pPr>
        <w:numPr>
          <w:ilvl w:val="0"/>
          <w:numId w:val="22"/>
        </w:numPr>
        <w:jc w:val="both"/>
        <w:rPr>
          <w:rFonts w:ascii="Arial" w:hAnsi="Arial"/>
          <w:b/>
        </w:rPr>
      </w:pPr>
      <w:r w:rsidRPr="00A20895">
        <w:rPr>
          <w:rFonts w:ascii="Arial" w:hAnsi="Arial"/>
          <w:b/>
        </w:rPr>
        <w:t>Qualità dell'aria: NO</w:t>
      </w:r>
      <w:r w:rsidRPr="00A20895">
        <w:rPr>
          <w:rFonts w:ascii="Arial" w:hAnsi="Arial"/>
          <w:b/>
          <w:vertAlign w:val="subscript"/>
        </w:rPr>
        <w:t>2</w:t>
      </w:r>
      <w:r w:rsidRPr="00A20895">
        <w:rPr>
          <w:rFonts w:ascii="Arial" w:hAnsi="Arial"/>
          <w:b/>
        </w:rPr>
        <w:t xml:space="preserve"> </w:t>
      </w:r>
    </w:p>
    <w:p w:rsidR="00E36E2B" w:rsidRPr="00A20895" w:rsidRDefault="00E36E2B" w:rsidP="00E36E2B">
      <w:pPr>
        <w:jc w:val="both"/>
        <w:rPr>
          <w:rFonts w:ascii="Arial" w:hAnsi="Arial"/>
          <w:i/>
        </w:rPr>
      </w:pPr>
      <w:r w:rsidRPr="00A20895">
        <w:rPr>
          <w:rFonts w:ascii="Arial" w:hAnsi="Arial"/>
          <w:i/>
        </w:rPr>
        <w:t>(</w:t>
      </w:r>
      <w:r w:rsidRPr="00A20895">
        <w:rPr>
          <w:rFonts w:ascii="Arial" w:hAnsi="Arial"/>
          <w:i/>
        </w:rPr>
        <w:sym w:font="Symbol" w:char="F06D"/>
      </w:r>
      <w:r w:rsidRPr="00A20895">
        <w:rPr>
          <w:rFonts w:ascii="Arial" w:hAnsi="Arial"/>
          <w:i/>
        </w:rPr>
        <w:t>g/mc NO</w:t>
      </w:r>
      <w:r w:rsidRPr="00A20895">
        <w:rPr>
          <w:rFonts w:ascii="Arial" w:hAnsi="Arial"/>
          <w:i/>
          <w:vertAlign w:val="subscript"/>
        </w:rPr>
        <w:t>2</w:t>
      </w:r>
      <w:r w:rsidRPr="00A20895">
        <w:rPr>
          <w:rFonts w:ascii="Arial" w:hAnsi="Arial"/>
          <w:i/>
        </w:rPr>
        <w:t>, media dei valori medi annuali registrati dalle centraline urbane presenti sul territorio comunale; fonte: censimento Ecosistema Urbano XX)</w:t>
      </w:r>
    </w:p>
    <w:p w:rsidR="00E36E2B" w:rsidRPr="00A20895" w:rsidRDefault="00E36E2B" w:rsidP="00E36E2B">
      <w:pPr>
        <w:rPr>
          <w:sz w:val="10"/>
          <w:szCs w:val="10"/>
        </w:rPr>
      </w:pPr>
      <w:r w:rsidRPr="00A20895">
        <w:t xml:space="preserve">             </w:t>
      </w:r>
    </w:p>
    <w:p w:rsidR="00E36E2B" w:rsidRPr="00A20895" w:rsidRDefault="00E36E2B" w:rsidP="00E36E2B">
      <w:pPr>
        <w:jc w:val="both"/>
        <w:rPr>
          <w:rFonts w:ascii="Arial" w:hAnsi="Arial"/>
          <w:sz w:val="20"/>
          <w:szCs w:val="20"/>
        </w:rPr>
      </w:pPr>
      <w:r w:rsidRPr="00A20895">
        <w:rPr>
          <w:rFonts w:ascii="Arial" w:hAnsi="Arial"/>
          <w:sz w:val="20"/>
          <w:szCs w:val="20"/>
        </w:rPr>
        <w:t>La concentrazione nell’aria di biossido di azoto (NO</w:t>
      </w:r>
      <w:r w:rsidRPr="00A20895">
        <w:rPr>
          <w:rFonts w:ascii="Arial" w:hAnsi="Arial"/>
          <w:sz w:val="20"/>
          <w:szCs w:val="20"/>
          <w:vertAlign w:val="subscript"/>
        </w:rPr>
        <w:t>2</w:t>
      </w:r>
      <w:r w:rsidRPr="00A20895">
        <w:rPr>
          <w:rFonts w:ascii="Arial" w:hAnsi="Arial"/>
          <w:sz w:val="20"/>
          <w:szCs w:val="20"/>
        </w:rPr>
        <w:t>) costituisce, insieme al particolato sottile e all’ozono, uno tra i maggiori problemi con cui le amministrazioni devono continuamente confrontarsi. Le emissioni di ossidi di azoto derivanti dai processi di combustione e, specialmente nei centri urbani, dal traffico automobilistico e dal riscaldamento domestico, nel corso degli ultimi anni non hanno subito la riduzione che ha invece caratterizzato altre emissioni inquinanti come l’anidride solforosa e, in modo meno accentuato ma pur sempre consistente, il monossido di carbonio.</w:t>
      </w:r>
    </w:p>
    <w:p w:rsidR="00E36E2B" w:rsidRPr="00A20895" w:rsidRDefault="00E36E2B" w:rsidP="00E36E2B">
      <w:pPr>
        <w:jc w:val="both"/>
        <w:rPr>
          <w:rFonts w:ascii="Arial" w:hAnsi="Arial"/>
          <w:sz w:val="20"/>
          <w:szCs w:val="20"/>
        </w:rPr>
      </w:pPr>
      <w:r w:rsidRPr="00A20895">
        <w:rPr>
          <w:rFonts w:ascii="Arial" w:hAnsi="Arial"/>
          <w:sz w:val="20"/>
          <w:szCs w:val="20"/>
        </w:rPr>
        <w:t>Come per lo scorso anno, per il 2012 si è scelto di utilizzare il valore medio delle sole centraline urbane presenti sul territorio comunale come indicatore rappresentativo della qualità dell’aria cittadina, in modo da rendere più omogenei i dati. È considerata la media poiché il valore peggiore dipende ampiamente dal posizionamento della centralina stessa (realizzato secondo criteri e con obiettivi differenti da comune a comune) caratterizzando i dati con una maggiore disomogeneità. Le stesse considerazioni hanno guidato anche la scelta dell’indicatore per il PM10.</w:t>
      </w:r>
    </w:p>
    <w:p w:rsidR="00E36E2B" w:rsidRPr="00A20895" w:rsidRDefault="00E36E2B" w:rsidP="00E36E2B">
      <w:pPr>
        <w:jc w:val="both"/>
        <w:rPr>
          <w:rFonts w:ascii="Arial" w:hAnsi="Arial"/>
          <w:sz w:val="20"/>
          <w:szCs w:val="20"/>
        </w:rPr>
      </w:pPr>
    </w:p>
    <w:p w:rsidR="00E36E2B" w:rsidRPr="001B35D9" w:rsidRDefault="00E36E2B" w:rsidP="00E36E2B">
      <w:pPr>
        <w:jc w:val="both"/>
        <w:rPr>
          <w:rFonts w:ascii="Arial" w:hAnsi="Arial"/>
          <w:sz w:val="20"/>
          <w:szCs w:val="20"/>
        </w:rPr>
      </w:pPr>
      <w:r w:rsidRPr="001B35D9">
        <w:rPr>
          <w:rFonts w:ascii="Arial" w:hAnsi="Arial"/>
          <w:sz w:val="20"/>
          <w:szCs w:val="20"/>
        </w:rPr>
        <w:t>I dati relativi alle concentrazioni medie di NO</w:t>
      </w:r>
      <w:r w:rsidRPr="001B35D9">
        <w:rPr>
          <w:rFonts w:ascii="Arial" w:hAnsi="Arial"/>
          <w:sz w:val="20"/>
          <w:szCs w:val="20"/>
          <w:vertAlign w:val="subscript"/>
        </w:rPr>
        <w:t>2</w:t>
      </w:r>
      <w:r w:rsidRPr="001B35D9">
        <w:rPr>
          <w:rFonts w:ascii="Arial" w:hAnsi="Arial"/>
          <w:sz w:val="20"/>
          <w:szCs w:val="20"/>
        </w:rPr>
        <w:t xml:space="preserve"> a nostra disposizione interessano complessivamente 78 città che hanno centraline urbane (che diventerebbero 82 considerando tutte le tipologie di centraline) .</w:t>
      </w:r>
    </w:p>
    <w:p w:rsidR="00E36E2B" w:rsidRPr="001B35D9" w:rsidRDefault="00E36E2B" w:rsidP="00E36E2B">
      <w:pPr>
        <w:jc w:val="both"/>
        <w:rPr>
          <w:rFonts w:ascii="Arial" w:hAnsi="Arial"/>
          <w:sz w:val="20"/>
          <w:szCs w:val="20"/>
        </w:rPr>
      </w:pPr>
      <w:r w:rsidRPr="001B35D9">
        <w:rPr>
          <w:rFonts w:ascii="Arial" w:hAnsi="Arial"/>
          <w:sz w:val="20"/>
          <w:szCs w:val="20"/>
        </w:rPr>
        <w:t>Nel 2012 lo stato dell’inquinamento da NO</w:t>
      </w:r>
      <w:r w:rsidRPr="001B35D9">
        <w:rPr>
          <w:rFonts w:ascii="Arial" w:hAnsi="Arial"/>
          <w:sz w:val="20"/>
          <w:szCs w:val="20"/>
          <w:vertAlign w:val="subscript"/>
        </w:rPr>
        <w:t>2</w:t>
      </w:r>
      <w:r w:rsidRPr="001B35D9">
        <w:rPr>
          <w:rFonts w:ascii="Arial" w:hAnsi="Arial"/>
          <w:sz w:val="20"/>
          <w:szCs w:val="20"/>
        </w:rPr>
        <w:t xml:space="preserve"> non presenta notevoli variazione e comunque i dati non consentono di individuare un trend univoco. Da un lato si registra infatti un leggero peggioramento delle città che rispettano il limite di legge di 40 </w:t>
      </w:r>
      <w:r w:rsidRPr="001B35D9">
        <w:rPr>
          <w:rFonts w:ascii="Arial" w:hAnsi="Arial"/>
          <w:sz w:val="20"/>
          <w:szCs w:val="20"/>
        </w:rPr>
        <w:sym w:font="Symbol" w:char="F06D"/>
      </w:r>
      <w:r w:rsidRPr="001B35D9">
        <w:rPr>
          <w:rFonts w:ascii="Arial" w:hAnsi="Arial"/>
          <w:sz w:val="20"/>
          <w:szCs w:val="20"/>
        </w:rPr>
        <w:t xml:space="preserve">g/mc che sono 57 (due in meno rispetto allo scorso anno), mentre dall’altro lato la media nazionale (34,92 </w:t>
      </w:r>
      <w:r w:rsidRPr="001B35D9">
        <w:rPr>
          <w:rFonts w:ascii="Arial" w:hAnsi="Arial"/>
          <w:sz w:val="20"/>
          <w:szCs w:val="20"/>
        </w:rPr>
        <w:sym w:font="Symbol" w:char="F06D"/>
      </w:r>
      <w:r w:rsidRPr="001B35D9">
        <w:rPr>
          <w:rFonts w:ascii="Arial" w:hAnsi="Arial"/>
          <w:sz w:val="20"/>
          <w:szCs w:val="20"/>
        </w:rPr>
        <w:t>g/mc) sembra confermare la generale diminuzione della concentrazione media di NO</w:t>
      </w:r>
      <w:r w:rsidRPr="001B35D9">
        <w:rPr>
          <w:rFonts w:ascii="Arial" w:hAnsi="Arial"/>
          <w:sz w:val="20"/>
          <w:szCs w:val="20"/>
          <w:vertAlign w:val="subscript"/>
        </w:rPr>
        <w:t>2</w:t>
      </w:r>
      <w:r w:rsidRPr="001B35D9">
        <w:rPr>
          <w:rFonts w:ascii="Arial" w:hAnsi="Arial"/>
          <w:sz w:val="20"/>
          <w:szCs w:val="20"/>
        </w:rPr>
        <w:t xml:space="preserve"> (36,79 nel 2011, 38,11 nel 2010). Si abbassa poi in generale il limite massimo di concentrazione di Biossido di Azoto nell’aria rispetto al </w:t>
      </w:r>
      <w:smartTag w:uri="urn:schemas-microsoft-com:office:smarttags" w:element="metricconverter">
        <w:smartTagPr>
          <w:attr w:name="ProductID" w:val="2011 in"/>
        </w:smartTagPr>
        <w:r w:rsidRPr="001B35D9">
          <w:rPr>
            <w:rFonts w:ascii="Arial" w:hAnsi="Arial"/>
            <w:sz w:val="20"/>
            <w:szCs w:val="20"/>
          </w:rPr>
          <w:t>2011 in</w:t>
        </w:r>
      </w:smartTag>
      <w:r w:rsidRPr="001B35D9">
        <w:rPr>
          <w:rFonts w:ascii="Arial" w:hAnsi="Arial"/>
          <w:sz w:val="20"/>
          <w:szCs w:val="20"/>
        </w:rPr>
        <w:t xml:space="preserve"> cui quattro città superavano i 60 </w:t>
      </w:r>
      <w:r w:rsidRPr="001B35D9">
        <w:rPr>
          <w:rFonts w:ascii="Arial" w:hAnsi="Arial"/>
          <w:sz w:val="20"/>
          <w:szCs w:val="20"/>
        </w:rPr>
        <w:sym w:font="Symbol" w:char="F06D"/>
      </w:r>
      <w:r w:rsidRPr="001B35D9">
        <w:rPr>
          <w:rFonts w:ascii="Arial" w:hAnsi="Arial"/>
          <w:sz w:val="20"/>
          <w:szCs w:val="20"/>
        </w:rPr>
        <w:t xml:space="preserve">g/mc, mentre quest’anno nessuna supera questo soglia. Tra le città grandi, le situazioni peggiori (superiori a 55 </w:t>
      </w:r>
      <w:r w:rsidRPr="001B35D9">
        <w:rPr>
          <w:rFonts w:ascii="Arial" w:hAnsi="Arial"/>
          <w:sz w:val="20"/>
          <w:szCs w:val="20"/>
        </w:rPr>
        <w:sym w:font="Symbol" w:char="F06D"/>
      </w:r>
      <w:r w:rsidRPr="001B35D9">
        <w:rPr>
          <w:rFonts w:ascii="Arial" w:hAnsi="Arial"/>
          <w:sz w:val="20"/>
          <w:szCs w:val="20"/>
        </w:rPr>
        <w:t xml:space="preserve">g/mc) si registrano a Firenze, Genova, Milano e Torino; tra le città medie Brescia e Como presentano i valori peggiori (superiori o uguali ai 50 </w:t>
      </w:r>
      <w:r w:rsidRPr="001B35D9">
        <w:rPr>
          <w:rFonts w:ascii="Arial" w:hAnsi="Arial"/>
          <w:sz w:val="20"/>
          <w:szCs w:val="20"/>
        </w:rPr>
        <w:sym w:font="Symbol" w:char="F06D"/>
      </w:r>
      <w:r w:rsidRPr="001B35D9">
        <w:rPr>
          <w:rFonts w:ascii="Arial" w:hAnsi="Arial"/>
          <w:sz w:val="20"/>
          <w:szCs w:val="20"/>
        </w:rPr>
        <w:t xml:space="preserve">g/mc ma comunque inferiori ai 55 </w:t>
      </w:r>
      <w:r w:rsidRPr="001B35D9">
        <w:rPr>
          <w:rFonts w:ascii="Arial" w:hAnsi="Arial"/>
          <w:sz w:val="20"/>
          <w:szCs w:val="20"/>
        </w:rPr>
        <w:sym w:font="Symbol" w:char="F06D"/>
      </w:r>
      <w:r w:rsidRPr="001B35D9">
        <w:rPr>
          <w:rFonts w:ascii="Arial" w:hAnsi="Arial"/>
          <w:sz w:val="20"/>
          <w:szCs w:val="20"/>
        </w:rPr>
        <w:t xml:space="preserve">g/mc) mentre scende Monza passando da 58 </w:t>
      </w:r>
      <w:r w:rsidRPr="001B35D9">
        <w:rPr>
          <w:rFonts w:ascii="Arial" w:hAnsi="Arial"/>
          <w:sz w:val="20"/>
          <w:szCs w:val="20"/>
        </w:rPr>
        <w:sym w:font="Symbol" w:char="F06D"/>
      </w:r>
      <w:r w:rsidRPr="001B35D9">
        <w:rPr>
          <w:rFonts w:ascii="Arial" w:hAnsi="Arial"/>
          <w:sz w:val="20"/>
          <w:szCs w:val="20"/>
        </w:rPr>
        <w:t xml:space="preserve">g/mc a 46 </w:t>
      </w:r>
      <w:r w:rsidRPr="001B35D9">
        <w:rPr>
          <w:rFonts w:ascii="Arial" w:hAnsi="Arial"/>
          <w:sz w:val="20"/>
          <w:szCs w:val="20"/>
        </w:rPr>
        <w:sym w:font="Symbol" w:char="F06D"/>
      </w:r>
      <w:r w:rsidRPr="001B35D9">
        <w:rPr>
          <w:rFonts w:ascii="Arial" w:hAnsi="Arial"/>
          <w:sz w:val="20"/>
          <w:szCs w:val="20"/>
        </w:rPr>
        <w:t xml:space="preserve">g/mc; tra le piccole solo Pavia supera i 50 </w:t>
      </w:r>
      <w:r w:rsidRPr="001B35D9">
        <w:rPr>
          <w:rFonts w:ascii="Arial" w:hAnsi="Arial"/>
          <w:sz w:val="20"/>
          <w:szCs w:val="20"/>
        </w:rPr>
        <w:sym w:font="Symbol" w:char="F06D"/>
      </w:r>
      <w:r w:rsidRPr="001B35D9">
        <w:rPr>
          <w:rFonts w:ascii="Arial" w:hAnsi="Arial"/>
          <w:sz w:val="20"/>
          <w:szCs w:val="20"/>
        </w:rPr>
        <w:t>g/mc.</w:t>
      </w:r>
    </w:p>
    <w:p w:rsidR="00E36E2B" w:rsidRPr="001B35D9" w:rsidRDefault="00E36E2B" w:rsidP="00E36E2B">
      <w:pPr>
        <w:jc w:val="both"/>
        <w:rPr>
          <w:rFonts w:ascii="Arial" w:hAnsi="Arial"/>
        </w:rPr>
      </w:pPr>
      <w:r w:rsidRPr="001B35D9">
        <w:rPr>
          <w:rFonts w:ascii="Arial" w:hAnsi="Arial"/>
          <w:sz w:val="20"/>
          <w:szCs w:val="20"/>
        </w:rPr>
        <w:t>Nonostante questa inversione di tendenza, restano ancora molti i casi in cui le concentrazioni continuano a superare le soglie considerate pericolose per la salute umana</w:t>
      </w:r>
      <w:r w:rsidRPr="001B35D9">
        <w:rPr>
          <w:rStyle w:val="Rimandonotaapidipagina"/>
          <w:sz w:val="20"/>
          <w:szCs w:val="20"/>
        </w:rPr>
        <w:footnoteReference w:id="1"/>
      </w:r>
      <w:r w:rsidRPr="001B35D9">
        <w:rPr>
          <w:rFonts w:ascii="Arial" w:hAnsi="Arial"/>
          <w:sz w:val="20"/>
          <w:szCs w:val="20"/>
        </w:rPr>
        <w:t xml:space="preserve">. In particolare, in poco meno di una quarantina di città (38) si rileva la presenza di aree critiche in cui almeno una centralina ha registrato valori medi annui superiori al valore obiettivo di 40 </w:t>
      </w:r>
      <w:r w:rsidRPr="001B35D9">
        <w:rPr>
          <w:rFonts w:ascii="Arial" w:hAnsi="Arial"/>
          <w:sz w:val="20"/>
          <w:szCs w:val="20"/>
        </w:rPr>
        <w:sym w:font="Symbol" w:char="F06D"/>
      </w:r>
      <w:r w:rsidRPr="001B35D9">
        <w:rPr>
          <w:rFonts w:ascii="Arial" w:hAnsi="Arial"/>
          <w:sz w:val="20"/>
          <w:szCs w:val="20"/>
        </w:rPr>
        <w:t xml:space="preserve">g/mc previsto per il 2010. Si nota comunque un miglioramento rispetto ai valori dello scorso anno in cui i casi di superamento, in almeno una centralina, della soglia di 40 </w:t>
      </w:r>
      <w:r w:rsidRPr="001B35D9">
        <w:rPr>
          <w:rFonts w:ascii="Arial" w:hAnsi="Arial"/>
          <w:sz w:val="20"/>
          <w:szCs w:val="20"/>
        </w:rPr>
        <w:sym w:font="Symbol" w:char="F06D"/>
      </w:r>
      <w:r w:rsidRPr="001B35D9">
        <w:rPr>
          <w:rFonts w:ascii="Arial" w:hAnsi="Arial"/>
          <w:sz w:val="20"/>
          <w:szCs w:val="20"/>
        </w:rPr>
        <w:t>g/mc erano dieci in più.</w:t>
      </w:r>
    </w:p>
    <w:p w:rsidR="00E36E2B" w:rsidRPr="001B35D9" w:rsidRDefault="00E36E2B" w:rsidP="00E36E2B">
      <w:pPr>
        <w:jc w:val="both"/>
        <w:rPr>
          <w:rFonts w:ascii="Arial" w:hAnsi="Arial"/>
          <w:sz w:val="20"/>
          <w:szCs w:val="20"/>
        </w:rPr>
      </w:pPr>
    </w:p>
    <w:p w:rsidR="00E36E2B" w:rsidRPr="001B35D9" w:rsidRDefault="00E36E2B" w:rsidP="00E36E2B">
      <w:pPr>
        <w:jc w:val="both"/>
        <w:rPr>
          <w:sz w:val="20"/>
          <w:szCs w:val="20"/>
        </w:rPr>
      </w:pPr>
      <w:r w:rsidRPr="001B35D9">
        <w:rPr>
          <w:sz w:val="20"/>
          <w:szCs w:val="20"/>
        </w:rPr>
        <w:t xml:space="preserve">         </w:t>
      </w:r>
    </w:p>
    <w:p w:rsidR="00E36E2B" w:rsidRPr="001B35D9" w:rsidRDefault="00E36E2B" w:rsidP="00E36E2B">
      <w:pPr>
        <w:numPr>
          <w:ilvl w:val="0"/>
          <w:numId w:val="22"/>
        </w:numPr>
        <w:jc w:val="both"/>
        <w:rPr>
          <w:rFonts w:ascii="Arial" w:hAnsi="Arial"/>
          <w:b/>
        </w:rPr>
      </w:pPr>
      <w:r w:rsidRPr="001B35D9">
        <w:rPr>
          <w:rFonts w:ascii="Arial" w:hAnsi="Arial"/>
          <w:b/>
        </w:rPr>
        <w:t>Qualità dell'aria: PM10</w:t>
      </w:r>
    </w:p>
    <w:p w:rsidR="00E36E2B" w:rsidRPr="001B35D9" w:rsidRDefault="00E36E2B" w:rsidP="00E36E2B">
      <w:pPr>
        <w:jc w:val="both"/>
        <w:rPr>
          <w:rFonts w:ascii="Arial" w:hAnsi="Arial"/>
          <w:i/>
        </w:rPr>
      </w:pPr>
      <w:r w:rsidRPr="001B35D9">
        <w:rPr>
          <w:rFonts w:ascii="Arial" w:hAnsi="Arial"/>
          <w:i/>
        </w:rPr>
        <w:t>(</w:t>
      </w:r>
      <w:r w:rsidRPr="001B35D9">
        <w:rPr>
          <w:rFonts w:ascii="Arial" w:hAnsi="Arial"/>
          <w:i/>
        </w:rPr>
        <w:sym w:font="Symbol" w:char="F06D"/>
      </w:r>
      <w:r w:rsidRPr="001B35D9">
        <w:rPr>
          <w:rFonts w:ascii="Arial" w:hAnsi="Arial"/>
          <w:i/>
        </w:rPr>
        <w:t xml:space="preserve">g/mc </w:t>
      </w:r>
      <w:r w:rsidRPr="001B35D9">
        <w:rPr>
          <w:rFonts w:ascii="Arial" w:hAnsi="Arial"/>
          <w:bCs/>
          <w:i/>
          <w:iCs/>
        </w:rPr>
        <w:t>PM10</w:t>
      </w:r>
      <w:r w:rsidRPr="001B35D9">
        <w:rPr>
          <w:rFonts w:ascii="Arial" w:hAnsi="Arial"/>
          <w:i/>
        </w:rPr>
        <w:t>,</w:t>
      </w:r>
      <w:r w:rsidRPr="001B35D9">
        <w:t xml:space="preserve"> </w:t>
      </w:r>
      <w:r w:rsidRPr="001B35D9">
        <w:rPr>
          <w:rFonts w:ascii="Arial" w:hAnsi="Arial"/>
          <w:i/>
        </w:rPr>
        <w:t xml:space="preserve">media dei valori medi annuali registrati dalle centraline urbane presenti in territorio comunale; fonte: censimento </w:t>
      </w:r>
      <w:smartTag w:uri="urn:schemas-microsoft-com:office:smarttags" w:element="PersonName">
        <w:smartTagPr>
          <w:attr w:name="ProductID" w:val="Ecosistema Urbano"/>
        </w:smartTagPr>
        <w:r w:rsidRPr="001B35D9">
          <w:rPr>
            <w:rFonts w:ascii="Arial" w:hAnsi="Arial"/>
            <w:i/>
          </w:rPr>
          <w:t>Ecosistema Urbano</w:t>
        </w:r>
      </w:smartTag>
      <w:r w:rsidRPr="001B35D9">
        <w:rPr>
          <w:rFonts w:ascii="Arial" w:hAnsi="Arial"/>
          <w:i/>
        </w:rPr>
        <w:t xml:space="preserve"> XX) </w:t>
      </w:r>
    </w:p>
    <w:p w:rsidR="00E36E2B" w:rsidRPr="001B35D9" w:rsidRDefault="00E36E2B" w:rsidP="00E36E2B">
      <w:pPr>
        <w:jc w:val="both"/>
        <w:rPr>
          <w:rFonts w:ascii="Arial" w:hAnsi="Arial"/>
          <w:sz w:val="10"/>
          <w:szCs w:val="10"/>
        </w:rPr>
      </w:pPr>
    </w:p>
    <w:p w:rsidR="00E36E2B" w:rsidRPr="001B35D9" w:rsidRDefault="00E36E2B" w:rsidP="00E36E2B">
      <w:pPr>
        <w:jc w:val="both"/>
        <w:rPr>
          <w:rFonts w:ascii="Arial" w:hAnsi="Arial"/>
          <w:sz w:val="20"/>
          <w:szCs w:val="20"/>
        </w:rPr>
      </w:pPr>
      <w:r w:rsidRPr="001B35D9">
        <w:rPr>
          <w:rFonts w:ascii="Arial" w:hAnsi="Arial"/>
          <w:sz w:val="20"/>
          <w:szCs w:val="20"/>
        </w:rPr>
        <w:t>Al fine di monitorare la preoccupante presenza di polveri sottili nell’aria, molti capoluoghi italiani hanno attivato sui loro territori centraline di rilevamento: in particolare, nel 2012, sono 79 le città che presentano valori validi sempre riferiti alle sole centraline urbane (sarebbero 81 se considerassimo tutte le centraline), sette città in meno rispetto al 2011.</w:t>
      </w:r>
    </w:p>
    <w:p w:rsidR="00E36E2B" w:rsidRPr="001B35D9" w:rsidRDefault="00E36E2B" w:rsidP="00E36E2B">
      <w:pPr>
        <w:jc w:val="both"/>
        <w:rPr>
          <w:rFonts w:ascii="Arial" w:hAnsi="Arial"/>
          <w:sz w:val="20"/>
          <w:szCs w:val="20"/>
        </w:rPr>
      </w:pPr>
      <w:r w:rsidRPr="001B35D9">
        <w:rPr>
          <w:rFonts w:ascii="Arial" w:hAnsi="Arial"/>
          <w:sz w:val="20"/>
          <w:szCs w:val="20"/>
        </w:rPr>
        <w:t xml:space="preserve">Per quanto riguarda la rilevazione della concentrazione PM10 si assiste ad un miglioramento, poiché in 12 capoluoghi (5 in meno dello scorso anno) si registra un valore medio annuo superiore al limite per la protezione della salute umana di 40 </w:t>
      </w:r>
      <w:r w:rsidRPr="001B35D9">
        <w:rPr>
          <w:rFonts w:ascii="Arial" w:hAnsi="Arial"/>
          <w:sz w:val="20"/>
          <w:szCs w:val="20"/>
        </w:rPr>
        <w:sym w:font="Symbol" w:char="F06D"/>
      </w:r>
      <w:r w:rsidRPr="001B35D9">
        <w:rPr>
          <w:rFonts w:ascii="Arial" w:hAnsi="Arial"/>
          <w:sz w:val="20"/>
          <w:szCs w:val="20"/>
        </w:rPr>
        <w:t xml:space="preserve">g/mc, previsto dalla direttiva comunitaria. Queste città sono distribuite in modo omogeneo per dimensione ma si collocano geograficamente prevalentemente al Nord in particolare nel bacino della Pianura Padana (tra cui le peggiori che superano i 43 </w:t>
      </w:r>
      <w:r w:rsidRPr="001B35D9">
        <w:rPr>
          <w:rFonts w:ascii="Arial" w:hAnsi="Arial"/>
          <w:sz w:val="20"/>
          <w:szCs w:val="20"/>
        </w:rPr>
        <w:sym w:font="Symbol" w:char="F06D"/>
      </w:r>
      <w:r w:rsidRPr="001B35D9">
        <w:rPr>
          <w:rFonts w:ascii="Arial" w:hAnsi="Arial"/>
          <w:sz w:val="20"/>
          <w:szCs w:val="20"/>
        </w:rPr>
        <w:t xml:space="preserve">g/mc sono Bergamo, Torino, Milano e Cremona) che notoriamente è caratterizzato da questa situazione cronica di inquinamento. Tuttavia si presenta un dato negativo anche nel Sud d’Italia a Benevento, anch’essa oltre i 43 </w:t>
      </w:r>
      <w:r w:rsidRPr="001B35D9">
        <w:rPr>
          <w:rFonts w:ascii="Arial" w:hAnsi="Arial"/>
          <w:sz w:val="20"/>
          <w:szCs w:val="20"/>
        </w:rPr>
        <w:sym w:font="Symbol" w:char="F06D"/>
      </w:r>
      <w:r w:rsidRPr="001B35D9">
        <w:rPr>
          <w:rFonts w:ascii="Arial" w:hAnsi="Arial"/>
          <w:sz w:val="20"/>
          <w:szCs w:val="20"/>
        </w:rPr>
        <w:t xml:space="preserve">g/mc. Il miglioramento generale è comunque confermato anche dal valore peggiore che quest’anno si ferma a 44 </w:t>
      </w:r>
      <w:r w:rsidRPr="001B35D9">
        <w:rPr>
          <w:rFonts w:ascii="Arial" w:hAnsi="Arial"/>
          <w:sz w:val="20"/>
          <w:szCs w:val="20"/>
        </w:rPr>
        <w:sym w:font="Symbol" w:char="F06D"/>
      </w:r>
      <w:r w:rsidRPr="001B35D9">
        <w:rPr>
          <w:rFonts w:ascii="Arial" w:hAnsi="Arial"/>
          <w:sz w:val="20"/>
          <w:szCs w:val="20"/>
        </w:rPr>
        <w:t xml:space="preserve">g/mc (a Bergamo), mentre l’anno scorso superava i 50 </w:t>
      </w:r>
      <w:r w:rsidRPr="001B35D9">
        <w:rPr>
          <w:rFonts w:ascii="Arial" w:hAnsi="Arial"/>
          <w:sz w:val="20"/>
          <w:szCs w:val="20"/>
        </w:rPr>
        <w:sym w:font="Symbol" w:char="F06D"/>
      </w:r>
      <w:r w:rsidRPr="001B35D9">
        <w:rPr>
          <w:rFonts w:ascii="Arial" w:hAnsi="Arial"/>
          <w:sz w:val="20"/>
          <w:szCs w:val="20"/>
        </w:rPr>
        <w:t>g/mc (a Torino)</w:t>
      </w:r>
    </w:p>
    <w:p w:rsidR="00E36E2B" w:rsidRPr="001B35D9" w:rsidRDefault="00E36E2B" w:rsidP="00E36E2B">
      <w:pPr>
        <w:jc w:val="both"/>
        <w:rPr>
          <w:rFonts w:ascii="Arial" w:hAnsi="Arial"/>
          <w:sz w:val="20"/>
          <w:szCs w:val="20"/>
        </w:rPr>
      </w:pPr>
      <w:r w:rsidRPr="001B35D9">
        <w:rPr>
          <w:rFonts w:ascii="Arial" w:hAnsi="Arial"/>
          <w:sz w:val="20"/>
          <w:szCs w:val="20"/>
        </w:rPr>
        <w:lastRenderedPageBreak/>
        <w:t xml:space="preserve">Anche guardando alle città che presentano un valore superiore ai 40 </w:t>
      </w:r>
      <w:r w:rsidRPr="001B35D9">
        <w:rPr>
          <w:rFonts w:ascii="Arial" w:hAnsi="Arial"/>
          <w:sz w:val="20"/>
          <w:szCs w:val="20"/>
        </w:rPr>
        <w:sym w:font="Symbol" w:char="F06D"/>
      </w:r>
      <w:r w:rsidRPr="001B35D9">
        <w:rPr>
          <w:rFonts w:ascii="Arial" w:hAnsi="Arial"/>
          <w:sz w:val="20"/>
          <w:szCs w:val="20"/>
        </w:rPr>
        <w:t>g/mc in almeno una centralina, il dato risulta in miglioramento: 19 città nel 2012 contro le 24 del 2011.</w:t>
      </w:r>
      <w:r w:rsidRPr="001B35D9">
        <w:t xml:space="preserve">                     </w:t>
      </w:r>
    </w:p>
    <w:p w:rsidR="00E36E2B" w:rsidRPr="001B35D9" w:rsidRDefault="00E36E2B" w:rsidP="00E36E2B">
      <w:pPr>
        <w:jc w:val="both"/>
        <w:rPr>
          <w:rFonts w:ascii="Arial" w:hAnsi="Arial"/>
        </w:rPr>
      </w:pPr>
    </w:p>
    <w:p w:rsidR="00E36E2B" w:rsidRPr="001B35D9" w:rsidRDefault="00E36E2B" w:rsidP="00E36E2B">
      <w:pPr>
        <w:numPr>
          <w:ilvl w:val="0"/>
          <w:numId w:val="22"/>
        </w:numPr>
        <w:jc w:val="both"/>
        <w:rPr>
          <w:rFonts w:ascii="Arial" w:hAnsi="Arial"/>
          <w:b/>
        </w:rPr>
      </w:pPr>
      <w:r w:rsidRPr="001B35D9">
        <w:rPr>
          <w:rFonts w:ascii="Arial" w:hAnsi="Arial"/>
          <w:b/>
        </w:rPr>
        <w:t>Qualità dell'aria: Ozono</w:t>
      </w:r>
    </w:p>
    <w:p w:rsidR="00E36E2B" w:rsidRPr="001B35D9" w:rsidRDefault="00E36E2B" w:rsidP="00E36E2B">
      <w:pPr>
        <w:jc w:val="both"/>
        <w:rPr>
          <w:rFonts w:ascii="Arial" w:hAnsi="Arial"/>
          <w:i/>
        </w:rPr>
      </w:pPr>
      <w:r w:rsidRPr="001B35D9">
        <w:rPr>
          <w:rFonts w:ascii="Arial" w:hAnsi="Arial"/>
          <w:i/>
        </w:rPr>
        <w:t xml:space="preserve">(Media del n° giorni di superamento della media mobile sulle 8 ore di 120 </w:t>
      </w:r>
      <w:r w:rsidRPr="001B35D9">
        <w:rPr>
          <w:rFonts w:ascii="Arial" w:hAnsi="Arial"/>
          <w:i/>
        </w:rPr>
        <w:sym w:font="Symbol" w:char="F06D"/>
      </w:r>
      <w:r w:rsidRPr="001B35D9">
        <w:rPr>
          <w:rFonts w:ascii="Arial" w:hAnsi="Arial" w:cs="Arial"/>
          <w:i/>
        </w:rPr>
        <w:t>g/mc</w:t>
      </w:r>
      <w:r w:rsidRPr="001B35D9">
        <w:rPr>
          <w:rFonts w:ascii="Arial" w:hAnsi="Arial"/>
          <w:i/>
        </w:rPr>
        <w:t xml:space="preserve"> registrato da tutte le centraline presenti in territorio comunale; fonte: censimento </w:t>
      </w:r>
      <w:smartTag w:uri="urn:schemas-microsoft-com:office:smarttags" w:element="PersonName">
        <w:smartTagPr>
          <w:attr w:name="ProductID" w:val="Ecosistema Urbano"/>
        </w:smartTagPr>
        <w:r w:rsidRPr="001B35D9">
          <w:rPr>
            <w:rFonts w:ascii="Arial" w:hAnsi="Arial"/>
            <w:i/>
          </w:rPr>
          <w:t>Ecosistema Urbano</w:t>
        </w:r>
      </w:smartTag>
      <w:r w:rsidRPr="001B35D9">
        <w:rPr>
          <w:rFonts w:ascii="Arial" w:hAnsi="Arial"/>
          <w:i/>
        </w:rPr>
        <w:t xml:space="preserve"> XX) </w:t>
      </w:r>
    </w:p>
    <w:p w:rsidR="00E36E2B" w:rsidRPr="001B35D9" w:rsidRDefault="00E36E2B" w:rsidP="00E36E2B">
      <w:pPr>
        <w:jc w:val="both"/>
        <w:rPr>
          <w:rFonts w:ascii="Arial" w:hAnsi="Arial"/>
          <w:sz w:val="10"/>
          <w:szCs w:val="10"/>
        </w:rPr>
      </w:pPr>
    </w:p>
    <w:p w:rsidR="00E36E2B" w:rsidRPr="001B35D9" w:rsidRDefault="00E36E2B" w:rsidP="00E36E2B">
      <w:pPr>
        <w:pStyle w:val="LTCtesto"/>
        <w:rPr>
          <w:rFonts w:ascii="Arial" w:hAnsi="Arial" w:cs="Arial"/>
          <w:sz w:val="20"/>
        </w:rPr>
      </w:pPr>
      <w:r w:rsidRPr="001B35D9">
        <w:rPr>
          <w:rFonts w:ascii="Arial" w:hAnsi="Arial" w:cs="Arial"/>
          <w:sz w:val="20"/>
        </w:rPr>
        <w:t>Negli ultimi cento anni la concentrazione dell’ozono (gas altamente velenoso per gli esseri viventi) negli strati più bassi dell’atmosfera è raddoppiata e sempre più ricorrenti e pericolosi sono i suoi picchi estivi. Molte amministrazioni hanno avviato un monitoraggio sistematico e sono 77 (</w:t>
      </w:r>
      <w:smartTag w:uri="urn:schemas-microsoft-com:office:smarttags" w:element="metricconverter">
        <w:smartTagPr>
          <w:attr w:name="ProductID" w:val="7 in"/>
        </w:smartTagPr>
        <w:r w:rsidRPr="001B35D9">
          <w:rPr>
            <w:rFonts w:ascii="Arial" w:hAnsi="Arial" w:cs="Arial"/>
            <w:sz w:val="20"/>
          </w:rPr>
          <w:t>7 in</w:t>
        </w:r>
      </w:smartTag>
      <w:r w:rsidRPr="001B35D9">
        <w:rPr>
          <w:rFonts w:ascii="Arial" w:hAnsi="Arial" w:cs="Arial"/>
          <w:sz w:val="20"/>
        </w:rPr>
        <w:t xml:space="preserve"> meno rispetto alla scorsa edizione) i comuni che nel 2012 hanno rilevato la concentrazione di questo gas.</w:t>
      </w:r>
    </w:p>
    <w:p w:rsidR="00E36E2B" w:rsidRPr="001B35D9" w:rsidRDefault="00E36E2B" w:rsidP="00E36E2B">
      <w:pPr>
        <w:jc w:val="both"/>
        <w:rPr>
          <w:rFonts w:ascii="Arial" w:hAnsi="Arial" w:cs="Arial"/>
          <w:sz w:val="20"/>
        </w:rPr>
      </w:pPr>
      <w:r w:rsidRPr="001B35D9">
        <w:rPr>
          <w:rFonts w:ascii="Arial" w:hAnsi="Arial" w:cs="Arial"/>
          <w:sz w:val="20"/>
        </w:rPr>
        <w:t>Nel 2012 sono 52 (</w:t>
      </w:r>
      <w:smartTag w:uri="urn:schemas-microsoft-com:office:smarttags" w:element="metricconverter">
        <w:smartTagPr>
          <w:attr w:name="ProductID" w:val="7 in"/>
        </w:smartTagPr>
        <w:r w:rsidRPr="001B35D9">
          <w:rPr>
            <w:rFonts w:ascii="Arial" w:hAnsi="Arial" w:cs="Arial"/>
            <w:sz w:val="20"/>
          </w:rPr>
          <w:t>7 in</w:t>
        </w:r>
      </w:smartTag>
      <w:r w:rsidRPr="001B35D9">
        <w:rPr>
          <w:rFonts w:ascii="Arial" w:hAnsi="Arial" w:cs="Arial"/>
          <w:sz w:val="20"/>
        </w:rPr>
        <w:t xml:space="preserve"> più dello scorso anno) i capoluoghi di provincia che superano il valore obiettivo per la protezione della salute umana, ovvero 25 giorni all’anno di superamento del limite giornaliero di 120 </w:t>
      </w:r>
      <w:r w:rsidRPr="001B35D9">
        <w:rPr>
          <w:rFonts w:ascii="Arial" w:hAnsi="Arial"/>
          <w:sz w:val="20"/>
        </w:rPr>
        <w:sym w:font="Symbol" w:char="F06D"/>
      </w:r>
      <w:r w:rsidRPr="001B35D9">
        <w:rPr>
          <w:rFonts w:ascii="Arial" w:hAnsi="Arial"/>
          <w:sz w:val="20"/>
        </w:rPr>
        <w:t>g/mc</w:t>
      </w:r>
      <w:r w:rsidRPr="001B35D9">
        <w:rPr>
          <w:rFonts w:ascii="Arial" w:hAnsi="Arial" w:cs="Arial"/>
          <w:sz w:val="20"/>
        </w:rPr>
        <w:t xml:space="preserve"> come media mobile su 8 ore</w:t>
      </w:r>
      <w:r w:rsidRPr="001B35D9">
        <w:rPr>
          <w:rStyle w:val="Rimandonotaapidipagina"/>
          <w:sz w:val="20"/>
        </w:rPr>
        <w:footnoteReference w:id="2"/>
      </w:r>
      <w:r w:rsidRPr="001B35D9">
        <w:rPr>
          <w:rFonts w:ascii="Arial" w:hAnsi="Arial" w:cs="Arial"/>
          <w:sz w:val="20"/>
        </w:rPr>
        <w:t xml:space="preserve">. </w:t>
      </w:r>
    </w:p>
    <w:p w:rsidR="00E36E2B" w:rsidRPr="001B35D9" w:rsidRDefault="00E36E2B" w:rsidP="00E36E2B">
      <w:pPr>
        <w:jc w:val="both"/>
        <w:rPr>
          <w:rFonts w:ascii="Arial" w:hAnsi="Arial" w:cs="Arial"/>
          <w:sz w:val="20"/>
        </w:rPr>
      </w:pPr>
      <w:r w:rsidRPr="001B35D9">
        <w:rPr>
          <w:rFonts w:ascii="Arial" w:hAnsi="Arial" w:cs="Arial"/>
          <w:sz w:val="20"/>
        </w:rPr>
        <w:t>Si assiste quindi ad un generale peggioramento delle concentrazioni di O</w:t>
      </w:r>
      <w:r w:rsidRPr="001B35D9">
        <w:rPr>
          <w:rFonts w:ascii="Arial" w:hAnsi="Arial" w:cs="Arial"/>
          <w:sz w:val="20"/>
          <w:vertAlign w:val="subscript"/>
        </w:rPr>
        <w:t>3</w:t>
      </w:r>
      <w:r w:rsidRPr="001B35D9">
        <w:rPr>
          <w:rFonts w:ascii="Arial" w:hAnsi="Arial" w:cs="Arial"/>
          <w:sz w:val="20"/>
        </w:rPr>
        <w:t xml:space="preserve">: infatti in ben 29 città (rispetto alle 24 della passata edizione) si osserva un numero di giorni di superamento della soglia di 120 </w:t>
      </w:r>
      <w:r w:rsidRPr="001B35D9">
        <w:rPr>
          <w:rFonts w:ascii="Arial" w:hAnsi="Arial" w:cs="Arial"/>
          <w:sz w:val="20"/>
        </w:rPr>
        <w:sym w:font="Symbol" w:char="F06D"/>
      </w:r>
      <w:r w:rsidRPr="001B35D9">
        <w:rPr>
          <w:rFonts w:ascii="Arial" w:hAnsi="Arial" w:cs="Arial"/>
          <w:sz w:val="20"/>
        </w:rPr>
        <w:t xml:space="preserve">g/mc pari o maggiori a due volte il valore obiettivo. In particolar modo, tra queste, 7 raggiungono un valore almeno triplo di quello consentito. Tra le città grandi le situazioni peggiori (con più di 50 giorni di superamenti, ovvero più del doppio di quelli consentiti) si registrano a Padova, Bologna e Firenze; tra le città medie Udine, Vicenza, Treviso, Piacenza e Varese superano addirittura di quasi tre volte i limiti consentiti e altrettanto, tra le piccole, fanno Mantova, Vercelli, Potenza, Ascoli Piceno, Matera, Biella, Lecco e L’Aquila. </w:t>
      </w:r>
    </w:p>
    <w:p w:rsidR="00E36E2B" w:rsidRPr="001B35D9" w:rsidRDefault="00E36E2B" w:rsidP="00E36E2B">
      <w:pPr>
        <w:jc w:val="both"/>
        <w:rPr>
          <w:rFonts w:ascii="Arial" w:hAnsi="Arial" w:cs="Arial"/>
          <w:sz w:val="20"/>
          <w:szCs w:val="20"/>
        </w:rPr>
      </w:pPr>
    </w:p>
    <w:p w:rsidR="00E36E2B" w:rsidRPr="001B35D9" w:rsidRDefault="00E36E2B" w:rsidP="00E36E2B">
      <w:pPr>
        <w:jc w:val="both"/>
        <w:rPr>
          <w:rFonts w:ascii="Arial" w:hAnsi="Arial" w:cs="Arial"/>
        </w:rPr>
      </w:pPr>
    </w:p>
    <w:p w:rsidR="00E36E2B" w:rsidRPr="001B35D9" w:rsidRDefault="00E36E2B" w:rsidP="00E36E2B">
      <w:pPr>
        <w:numPr>
          <w:ilvl w:val="0"/>
          <w:numId w:val="22"/>
        </w:numPr>
        <w:jc w:val="both"/>
        <w:rPr>
          <w:rFonts w:ascii="Arial" w:hAnsi="Arial"/>
          <w:b/>
        </w:rPr>
      </w:pPr>
      <w:r w:rsidRPr="001B35D9">
        <w:rPr>
          <w:rFonts w:ascii="Arial" w:hAnsi="Arial"/>
          <w:b/>
        </w:rPr>
        <w:t>Consumi idrici domestici</w:t>
      </w:r>
    </w:p>
    <w:p w:rsidR="00E36E2B" w:rsidRPr="001B35D9" w:rsidRDefault="00E36E2B" w:rsidP="00E36E2B">
      <w:pPr>
        <w:jc w:val="both"/>
        <w:rPr>
          <w:rFonts w:ascii="Arial" w:hAnsi="Arial"/>
          <w:i/>
        </w:rPr>
      </w:pPr>
      <w:r w:rsidRPr="001B35D9">
        <w:rPr>
          <w:rFonts w:ascii="Arial" w:hAnsi="Arial"/>
          <w:i/>
        </w:rPr>
        <w:t>(Consumi giornalieri pro capite di acqua potabile per uso domestico (l/ab); fonte: ISTAT, Indicatori ambientali urbani 2011)</w:t>
      </w:r>
    </w:p>
    <w:p w:rsidR="00E36E2B" w:rsidRPr="001B35D9" w:rsidRDefault="00E36E2B" w:rsidP="00E36E2B">
      <w:pPr>
        <w:jc w:val="both"/>
        <w:rPr>
          <w:rFonts w:ascii="Arial" w:hAnsi="Arial"/>
          <w:sz w:val="10"/>
          <w:szCs w:val="10"/>
        </w:rPr>
      </w:pPr>
    </w:p>
    <w:p w:rsidR="00E36E2B" w:rsidRPr="001B35D9" w:rsidRDefault="00E36E2B" w:rsidP="00E36E2B">
      <w:pPr>
        <w:jc w:val="both"/>
        <w:rPr>
          <w:rFonts w:ascii="Arial" w:hAnsi="Arial"/>
          <w:sz w:val="20"/>
          <w:szCs w:val="20"/>
        </w:rPr>
      </w:pPr>
      <w:r w:rsidRPr="001B35D9">
        <w:rPr>
          <w:rFonts w:ascii="Arial" w:hAnsi="Arial"/>
          <w:sz w:val="20"/>
          <w:szCs w:val="20"/>
        </w:rPr>
        <w:t>I dati sui consumi idrici domestici sono tratti dalle ultime rilevazioni del Rapporto</w:t>
      </w:r>
      <w:r w:rsidRPr="001B35D9">
        <w:t xml:space="preserve"> </w:t>
      </w:r>
      <w:r w:rsidRPr="001B35D9">
        <w:rPr>
          <w:rFonts w:ascii="Arial" w:hAnsi="Arial"/>
          <w:sz w:val="20"/>
          <w:szCs w:val="20"/>
        </w:rPr>
        <w:t>Indicatori ambientali urbani (ISTAT 2012, su dati 2011) e sono disponibili, quindi, per tutti i capoluoghi di Ecosistema Urbano. Non essendo presente ad oggi una rilevazione più aggiornata, si è quindi tenuto conto dei dati del Rapporto</w:t>
      </w:r>
      <w:r w:rsidRPr="001B35D9">
        <w:t xml:space="preserve"> </w:t>
      </w:r>
      <w:r w:rsidRPr="001B35D9">
        <w:rPr>
          <w:rFonts w:ascii="Arial" w:hAnsi="Arial"/>
          <w:sz w:val="20"/>
          <w:szCs w:val="20"/>
        </w:rPr>
        <w:t>Indicatori ambientali urbani di ISTAT già utilizzati per la scorsa edizione di Ecosistema Urbano.</w:t>
      </w:r>
    </w:p>
    <w:p w:rsidR="00E36E2B" w:rsidRPr="00A20895" w:rsidRDefault="00E36E2B" w:rsidP="00E36E2B">
      <w:pPr>
        <w:jc w:val="both"/>
        <w:rPr>
          <w:rFonts w:ascii="Arial" w:hAnsi="Arial"/>
          <w:i/>
          <w:sz w:val="20"/>
          <w:szCs w:val="20"/>
        </w:rPr>
      </w:pPr>
      <w:r w:rsidRPr="001B35D9">
        <w:rPr>
          <w:rFonts w:ascii="Arial" w:hAnsi="Arial"/>
          <w:sz w:val="20"/>
          <w:szCs w:val="20"/>
        </w:rPr>
        <w:t>Da Ecosistema Urbano XIX si evince che</w:t>
      </w:r>
      <w:r w:rsidRPr="001B35D9">
        <w:rPr>
          <w:rFonts w:ascii="Arial" w:hAnsi="Arial"/>
          <w:i/>
          <w:sz w:val="20"/>
          <w:szCs w:val="20"/>
        </w:rPr>
        <w:t xml:space="preserve"> “I consumi idrici domestici dell’81,7% delle città si collocano in un range che va dai 100 ai </w:t>
      </w:r>
      <w:smartTag w:uri="urn:schemas-microsoft-com:office:smarttags" w:element="metricconverter">
        <w:smartTagPr>
          <w:attr w:name="ProductID" w:val="200 litri"/>
        </w:smartTagPr>
        <w:r w:rsidRPr="001B35D9">
          <w:rPr>
            <w:rFonts w:ascii="Arial" w:hAnsi="Arial"/>
            <w:i/>
            <w:sz w:val="20"/>
            <w:szCs w:val="20"/>
          </w:rPr>
          <w:t>200 litri</w:t>
        </w:r>
      </w:smartTag>
      <w:r w:rsidRPr="001B35D9">
        <w:rPr>
          <w:rFonts w:ascii="Arial" w:hAnsi="Arial"/>
          <w:i/>
          <w:sz w:val="20"/>
          <w:szCs w:val="20"/>
        </w:rPr>
        <w:t xml:space="preserve"> per abitante al giorno, mentre nessuna di esse supera i </w:t>
      </w:r>
      <w:smartTag w:uri="urn:schemas-microsoft-com:office:smarttags" w:element="metricconverter">
        <w:smartTagPr>
          <w:attr w:name="ProductID" w:val="250 litri"/>
        </w:smartTagPr>
        <w:r w:rsidRPr="001B35D9">
          <w:rPr>
            <w:rFonts w:ascii="Arial" w:hAnsi="Arial"/>
            <w:i/>
            <w:sz w:val="20"/>
            <w:szCs w:val="20"/>
          </w:rPr>
          <w:t>250 litri</w:t>
        </w:r>
      </w:smartTag>
      <w:r w:rsidRPr="001B35D9">
        <w:rPr>
          <w:rFonts w:ascii="Arial" w:hAnsi="Arial"/>
          <w:i/>
          <w:sz w:val="20"/>
          <w:szCs w:val="20"/>
        </w:rPr>
        <w:t xml:space="preserve"> pro capite al giorno. Solamente in una città (Agrigento) si rileva un valore inferiori a </w:t>
      </w:r>
      <w:smartTag w:uri="urn:schemas-microsoft-com:office:smarttags" w:element="metricconverter">
        <w:smartTagPr>
          <w:attr w:name="ProductID" w:val="100 litri"/>
        </w:smartTagPr>
        <w:r w:rsidRPr="001B35D9">
          <w:rPr>
            <w:rFonts w:ascii="Arial" w:hAnsi="Arial"/>
            <w:i/>
            <w:sz w:val="20"/>
            <w:szCs w:val="20"/>
          </w:rPr>
          <w:t>100</w:t>
        </w:r>
        <w:r w:rsidRPr="00A20895">
          <w:rPr>
            <w:rFonts w:ascii="Arial" w:hAnsi="Arial"/>
            <w:i/>
            <w:sz w:val="20"/>
            <w:szCs w:val="20"/>
          </w:rPr>
          <w:t xml:space="preserve"> litri</w:t>
        </w:r>
      </w:smartTag>
      <w:r w:rsidRPr="00A20895">
        <w:rPr>
          <w:rFonts w:ascii="Arial" w:hAnsi="Arial"/>
          <w:i/>
          <w:sz w:val="20"/>
          <w:szCs w:val="20"/>
        </w:rPr>
        <w:t xml:space="preserve"> (96,21), mentre il comune con il maggiore consumo è Lodi, che conta </w:t>
      </w:r>
      <w:smartTag w:uri="urn:schemas-microsoft-com:office:smarttags" w:element="metricconverter">
        <w:smartTagPr>
          <w:attr w:name="ProductID" w:val="239,78 litri"/>
        </w:smartTagPr>
        <w:r w:rsidRPr="00A20895">
          <w:rPr>
            <w:rFonts w:ascii="Arial" w:hAnsi="Arial"/>
            <w:i/>
            <w:sz w:val="20"/>
            <w:szCs w:val="20"/>
          </w:rPr>
          <w:t>239,78 litri</w:t>
        </w:r>
      </w:smartTag>
      <w:r w:rsidRPr="00A20895">
        <w:rPr>
          <w:rFonts w:ascii="Arial" w:hAnsi="Arial"/>
          <w:i/>
          <w:sz w:val="20"/>
          <w:szCs w:val="20"/>
        </w:rPr>
        <w:t xml:space="preserve"> per abitante al giorno e anche Catania supera i 230 l/ab giorno. Il valore medio (ponderato) dei consumi domestici tra tutti i capoluoghi è pari a </w:t>
      </w:r>
      <w:smartTag w:uri="urn:schemas-microsoft-com:office:smarttags" w:element="metricconverter">
        <w:smartTagPr>
          <w:attr w:name="ProductID" w:val="164,55 litri"/>
        </w:smartTagPr>
        <w:r w:rsidRPr="00A20895">
          <w:rPr>
            <w:rFonts w:ascii="Arial" w:hAnsi="Arial"/>
            <w:i/>
            <w:sz w:val="20"/>
            <w:szCs w:val="20"/>
          </w:rPr>
          <w:t>164,55 litri</w:t>
        </w:r>
      </w:smartTag>
      <w:r w:rsidRPr="00A20895">
        <w:rPr>
          <w:rFonts w:ascii="Arial" w:hAnsi="Arial"/>
          <w:i/>
          <w:sz w:val="20"/>
          <w:szCs w:val="20"/>
        </w:rPr>
        <w:t xml:space="preserve"> al giorno pro capite.</w:t>
      </w:r>
    </w:p>
    <w:p w:rsidR="00E36E2B" w:rsidRPr="00A20895" w:rsidRDefault="00E36E2B" w:rsidP="00E36E2B">
      <w:pPr>
        <w:jc w:val="both"/>
        <w:rPr>
          <w:rFonts w:ascii="Arial" w:hAnsi="Arial"/>
          <w:i/>
          <w:sz w:val="20"/>
          <w:szCs w:val="20"/>
        </w:rPr>
      </w:pPr>
      <w:r w:rsidRPr="00A20895">
        <w:rPr>
          <w:rFonts w:ascii="Arial" w:hAnsi="Arial"/>
          <w:i/>
          <w:sz w:val="20"/>
          <w:szCs w:val="20"/>
        </w:rPr>
        <w:t>I dati raccolti sulla carenza idrica evidenziano un sostanziale miglioramento rispetto allo scorso anno: la città che ha registrato il maggior numero di giorni di crisi idrica è Pesaro (121 giorni) mentre, a seguire, si trovano Reggio Calabria (18), Enna (15), Sassari (7), Crotone (5) e Chieti (3); il resto dei comuni non ha subito alcuna emergenza idrica”.</w:t>
      </w:r>
    </w:p>
    <w:p w:rsidR="00E36E2B" w:rsidRPr="00A20895" w:rsidRDefault="00E36E2B" w:rsidP="00E36E2B">
      <w:pPr>
        <w:jc w:val="both"/>
        <w:rPr>
          <w:rFonts w:ascii="Arial" w:hAnsi="Arial"/>
          <w:i/>
          <w:sz w:val="20"/>
          <w:szCs w:val="20"/>
        </w:rPr>
      </w:pPr>
    </w:p>
    <w:p w:rsidR="00E36E2B" w:rsidRPr="00A20895" w:rsidRDefault="00E36E2B" w:rsidP="00E36E2B">
      <w:pPr>
        <w:jc w:val="both"/>
        <w:rPr>
          <w:rFonts w:ascii="Arial" w:hAnsi="Arial"/>
          <w:sz w:val="20"/>
          <w:szCs w:val="20"/>
        </w:rPr>
      </w:pPr>
    </w:p>
    <w:p w:rsidR="00E36E2B" w:rsidRPr="00A20895" w:rsidRDefault="00E36E2B" w:rsidP="00E36E2B">
      <w:pPr>
        <w:numPr>
          <w:ilvl w:val="0"/>
          <w:numId w:val="22"/>
        </w:numPr>
        <w:jc w:val="both"/>
        <w:rPr>
          <w:rFonts w:ascii="Arial" w:hAnsi="Arial"/>
          <w:b/>
        </w:rPr>
      </w:pPr>
      <w:r w:rsidRPr="00A20895">
        <w:rPr>
          <w:rFonts w:ascii="Arial" w:hAnsi="Arial"/>
          <w:b/>
        </w:rPr>
        <w:t>Dispersione della rete</w:t>
      </w:r>
    </w:p>
    <w:p w:rsidR="00E36E2B" w:rsidRPr="00A20895" w:rsidRDefault="00E36E2B" w:rsidP="00E36E2B">
      <w:pPr>
        <w:jc w:val="both"/>
        <w:rPr>
          <w:rFonts w:ascii="Arial" w:hAnsi="Arial"/>
          <w:i/>
        </w:rPr>
      </w:pPr>
      <w:r w:rsidRPr="00A20895">
        <w:rPr>
          <w:rFonts w:ascii="Arial" w:hAnsi="Arial"/>
          <w:i/>
        </w:rPr>
        <w:t xml:space="preserve"> (Differenza percentuale tra l’acqua immessa e quella consumata per usi civili, industriali e agricoli (%); fonte: censimento Ecosistema Urbano XX)</w:t>
      </w:r>
    </w:p>
    <w:p w:rsidR="00E36E2B" w:rsidRPr="00A20895" w:rsidRDefault="00E36E2B" w:rsidP="00E36E2B">
      <w:pPr>
        <w:jc w:val="both"/>
        <w:rPr>
          <w:rFonts w:ascii="Arial" w:hAnsi="Arial"/>
          <w:sz w:val="10"/>
          <w:szCs w:val="10"/>
        </w:rPr>
      </w:pPr>
    </w:p>
    <w:p w:rsidR="00E36E2B" w:rsidRPr="00A20895" w:rsidRDefault="00E36E2B" w:rsidP="00E36E2B">
      <w:pPr>
        <w:jc w:val="both"/>
        <w:rPr>
          <w:rFonts w:ascii="Arial" w:hAnsi="Arial"/>
          <w:sz w:val="20"/>
          <w:szCs w:val="20"/>
        </w:rPr>
      </w:pPr>
      <w:r w:rsidRPr="00A20895">
        <w:rPr>
          <w:rFonts w:ascii="Arial" w:hAnsi="Arial"/>
          <w:sz w:val="20"/>
          <w:szCs w:val="20"/>
        </w:rPr>
        <w:t xml:space="preserve">Per via della ridotta disaggregazione dei dati in nostro possesso, analogamente alla precedente edizione si assume, quale stima delle probabili dispersioni, che la quota di acqua immessa in rete e non consumata per usi civili (domestici, servizi, usi pubblici e usi gratuiti), industriali ed agricoli sia, in qualche modo, perduta. Sono quindi implicitamente considerati, insieme alle vere e proprie perdite fisiche, tutte le altre dispersioni dovute al cattivo funzionamento della rete, agli eventuali sversamenti e sfori nei serbatoi, alla mancata fatturazione e non contabilizzazione come gratuita, ai furti ed ai prelievi abusivi. Per ovviare ad alcuni errori e superare imprecisioni nei dati dell’acqua prelevata, si considera come riferimento di partenza l’acqua immessa in rete e non quella prelevata. </w:t>
      </w:r>
    </w:p>
    <w:p w:rsidR="00E36E2B" w:rsidRPr="00A20895" w:rsidRDefault="00E36E2B" w:rsidP="00E36E2B">
      <w:pPr>
        <w:jc w:val="both"/>
        <w:rPr>
          <w:rFonts w:ascii="Arial" w:hAnsi="Arial"/>
          <w:sz w:val="20"/>
          <w:szCs w:val="20"/>
        </w:rPr>
      </w:pPr>
      <w:r w:rsidRPr="00A20895">
        <w:rPr>
          <w:rFonts w:ascii="Arial" w:hAnsi="Arial"/>
          <w:sz w:val="20"/>
          <w:szCs w:val="20"/>
        </w:rPr>
        <w:t xml:space="preserve">Indipendentemente dalla dimensione delle città, 8 capoluoghi hanno perdite inferiori al 15% (Pordenone, Cremona, Macerata, Lodi, Viterbo, Pavia, Reggio Emilia e Milano), mentre, al contrario in 11 comuni le </w:t>
      </w:r>
      <w:r w:rsidRPr="00A20895">
        <w:rPr>
          <w:rFonts w:ascii="Arial" w:hAnsi="Arial"/>
          <w:sz w:val="20"/>
          <w:szCs w:val="20"/>
        </w:rPr>
        <w:lastRenderedPageBreak/>
        <w:t>perdite sono superiori al 50% (Potenza, Avellino, Gorizia, L'Aquila, Cosenza, Grosseto,  Pescara, Salerno, Latina, Palermo e Catania).</w:t>
      </w:r>
    </w:p>
    <w:p w:rsidR="00E36E2B" w:rsidRPr="00A20895" w:rsidRDefault="00E36E2B" w:rsidP="00E36E2B">
      <w:pPr>
        <w:jc w:val="both"/>
        <w:rPr>
          <w:rFonts w:ascii="Arial" w:hAnsi="Arial"/>
        </w:rPr>
      </w:pPr>
      <w:r w:rsidRPr="00A20895">
        <w:rPr>
          <w:rFonts w:ascii="Arial" w:hAnsi="Arial"/>
          <w:sz w:val="20"/>
          <w:szCs w:val="20"/>
        </w:rPr>
        <w:t>Il dato sulla dispersione dell’acqua nei capoluoghi italiani quindi conferma un panorama molto variegato: si passa, infatti, dal 10% di Pordenone e Reggio Emilia al 68% dell’Aquila e di Cosenza. In generale in più di 53 città l’acqua immessa nella rete viene perduta in percentuale maggiore del 30%, a riprova di una situazione comunque critica per le città italiane.</w:t>
      </w:r>
    </w:p>
    <w:p w:rsidR="00E36E2B" w:rsidRPr="00A20895" w:rsidRDefault="00E36E2B" w:rsidP="00E36E2B">
      <w:pPr>
        <w:ind w:right="758"/>
        <w:jc w:val="both"/>
        <w:rPr>
          <w:sz w:val="18"/>
          <w:szCs w:val="18"/>
        </w:rPr>
      </w:pPr>
    </w:p>
    <w:p w:rsidR="00E36E2B" w:rsidRPr="00A20895" w:rsidRDefault="00E36E2B" w:rsidP="00E36E2B">
      <w:pPr>
        <w:jc w:val="both"/>
        <w:rPr>
          <w:rFonts w:ascii="Arial" w:hAnsi="Arial"/>
        </w:rPr>
      </w:pPr>
    </w:p>
    <w:p w:rsidR="00E36E2B" w:rsidRPr="00A20895" w:rsidRDefault="00E36E2B" w:rsidP="00E36E2B">
      <w:pPr>
        <w:numPr>
          <w:ilvl w:val="0"/>
          <w:numId w:val="22"/>
        </w:numPr>
        <w:jc w:val="both"/>
        <w:rPr>
          <w:rFonts w:ascii="Arial" w:hAnsi="Arial"/>
          <w:b/>
        </w:rPr>
      </w:pPr>
      <w:r w:rsidRPr="00A20895">
        <w:rPr>
          <w:rFonts w:ascii="Arial" w:hAnsi="Arial"/>
          <w:b/>
        </w:rPr>
        <w:t>Capacità di depurazione</w:t>
      </w:r>
    </w:p>
    <w:p w:rsidR="00E36E2B" w:rsidRPr="00A20895" w:rsidRDefault="00E36E2B" w:rsidP="00E36E2B">
      <w:pPr>
        <w:jc w:val="both"/>
        <w:rPr>
          <w:rFonts w:ascii="Arial" w:hAnsi="Arial"/>
          <w:i/>
        </w:rPr>
      </w:pPr>
      <w:r w:rsidRPr="00A20895">
        <w:rPr>
          <w:rFonts w:ascii="Arial" w:hAnsi="Arial"/>
          <w:i/>
        </w:rPr>
        <w:t xml:space="preserve"> (Indice composto da: % abitanti allacciati agli impianti di depurazione, giorni di funzionamento dell’impianto di depurazione, capacità di abbattimento del COD (%); fonte: censimento Ecosistema Urbano XX)</w:t>
      </w:r>
    </w:p>
    <w:p w:rsidR="00E36E2B" w:rsidRPr="00A20895" w:rsidRDefault="00E36E2B" w:rsidP="00E36E2B">
      <w:pPr>
        <w:jc w:val="both"/>
        <w:rPr>
          <w:rFonts w:ascii="Arial" w:hAnsi="Arial"/>
          <w:sz w:val="10"/>
          <w:szCs w:val="10"/>
        </w:rPr>
      </w:pPr>
    </w:p>
    <w:p w:rsidR="00E36E2B" w:rsidRPr="00A20895" w:rsidRDefault="00E36E2B" w:rsidP="00E36E2B">
      <w:pPr>
        <w:jc w:val="both"/>
        <w:rPr>
          <w:rFonts w:ascii="Arial" w:hAnsi="Arial"/>
          <w:sz w:val="20"/>
          <w:szCs w:val="20"/>
        </w:rPr>
      </w:pPr>
      <w:r w:rsidRPr="00A20895">
        <w:rPr>
          <w:rFonts w:ascii="Arial" w:hAnsi="Arial"/>
          <w:sz w:val="20"/>
          <w:szCs w:val="20"/>
        </w:rPr>
        <w:t>L’indice sulla capacità di depurazione è composto prendendo in considerazione diverse tipologie di dati: gli abitanti allacciati al servizio di depurazione; il numero dei giorni di funzionamento dell’impianto di depurazione; l’eventuale superamento della soglia di 125 mg/l in uscita della domanda chimica di ossigeno (COD = Chemical Oxygen Demand); l’efficienza di depurazione (ovvero il rapporto tra COD in uscita e COD in ingresso).</w:t>
      </w:r>
    </w:p>
    <w:p w:rsidR="00E36E2B" w:rsidRPr="00A20895" w:rsidRDefault="00E36E2B" w:rsidP="00E36E2B">
      <w:pPr>
        <w:jc w:val="both"/>
        <w:rPr>
          <w:rFonts w:ascii="Arial" w:hAnsi="Arial"/>
          <w:sz w:val="20"/>
          <w:szCs w:val="20"/>
        </w:rPr>
      </w:pPr>
      <w:r w:rsidRPr="00A20895">
        <w:rPr>
          <w:rFonts w:ascii="Arial" w:hAnsi="Arial"/>
          <w:sz w:val="20"/>
          <w:szCs w:val="20"/>
        </w:rPr>
        <w:t xml:space="preserve">Per quanto concerne questa XX edizione di Ecosistema Urbano, sono 4 i comuni in cui solo la metà, o meno, della popolazione viene servita dal depuratore: Benevento (che registra il 21% di capacità di depurazione), Treviso (32%), Palermo (44%) e Catania (22%). Come possibile notare questi dati negativi non riguardano solo il Sud d’Italia. </w:t>
      </w:r>
    </w:p>
    <w:p w:rsidR="00E36E2B" w:rsidRPr="00A20895" w:rsidRDefault="00E36E2B" w:rsidP="00E36E2B">
      <w:pPr>
        <w:jc w:val="both"/>
        <w:rPr>
          <w:rFonts w:ascii="Arial" w:hAnsi="Arial"/>
          <w:sz w:val="20"/>
          <w:szCs w:val="20"/>
        </w:rPr>
      </w:pPr>
      <w:r w:rsidRPr="00A20895">
        <w:rPr>
          <w:rFonts w:ascii="Arial" w:hAnsi="Arial"/>
          <w:sz w:val="20"/>
          <w:szCs w:val="20"/>
        </w:rPr>
        <w:t>La situazione che fino al 2011 risultava essere la più critica, rappresentata da Imperia a causa dell’assenza di un impianto di depurazione a servizio dei cittadini, risulta ad oggi in netto miglioramento, grazie al nuovo impianto realizzato nel comune ed entrato in funzione a pieno regime il 14 novembre 2012.</w:t>
      </w:r>
    </w:p>
    <w:p w:rsidR="00E36E2B" w:rsidRPr="00A20895" w:rsidRDefault="00E36E2B" w:rsidP="00E36E2B">
      <w:pPr>
        <w:jc w:val="both"/>
        <w:rPr>
          <w:rFonts w:ascii="Arial" w:hAnsi="Arial"/>
          <w:sz w:val="20"/>
          <w:szCs w:val="20"/>
        </w:rPr>
      </w:pPr>
      <w:r w:rsidRPr="00A20895">
        <w:rPr>
          <w:rFonts w:ascii="Arial" w:hAnsi="Arial"/>
          <w:sz w:val="20"/>
          <w:szCs w:val="20"/>
        </w:rPr>
        <w:t>Al capo opposto della classifica troviamo invece ben 47 capoluoghi in grado di servire più del 95% degli abitanti, tra i quali 15 raggiungono quota 100%, riuscendo a coprire la totalità della popolazione.</w:t>
      </w:r>
    </w:p>
    <w:p w:rsidR="00E36E2B" w:rsidRPr="00A20895" w:rsidRDefault="00E36E2B" w:rsidP="00E36E2B">
      <w:pPr>
        <w:jc w:val="both"/>
        <w:rPr>
          <w:rFonts w:ascii="Arial" w:hAnsi="Arial"/>
          <w:sz w:val="20"/>
          <w:szCs w:val="20"/>
        </w:rPr>
      </w:pPr>
      <w:r w:rsidRPr="00A20895">
        <w:rPr>
          <w:rFonts w:ascii="Arial" w:hAnsi="Arial"/>
          <w:sz w:val="20"/>
          <w:szCs w:val="20"/>
        </w:rPr>
        <w:t>Nel corso del 2012 solo in una città, Napoli, l’impianto di depurazione non rispetta il limite di 125 mg/l previsto per il COD dei reflui in uscita dal D.lgs 152/1999, registrando un valore di 187 mg/l, di 62 mg superiore alla soglia di legge. Questa situazione critica ha comportato una diminuzione della capacità di depurazione di Napoli che per quest’anno si ferma al 67%.</w:t>
      </w:r>
    </w:p>
    <w:p w:rsidR="00E36E2B" w:rsidRPr="00A20895" w:rsidRDefault="00E36E2B" w:rsidP="00E36E2B">
      <w:pPr>
        <w:jc w:val="both"/>
        <w:rPr>
          <w:rFonts w:ascii="Arial" w:hAnsi="Arial"/>
          <w:sz w:val="20"/>
          <w:szCs w:val="20"/>
        </w:rPr>
      </w:pPr>
      <w:r w:rsidRPr="00A20895">
        <w:rPr>
          <w:rFonts w:ascii="Arial" w:hAnsi="Arial"/>
          <w:sz w:val="20"/>
          <w:szCs w:val="20"/>
        </w:rPr>
        <w:t>Va infine segnalato che l’impianto di Savona non ha funzionato per oltre un mese.</w:t>
      </w:r>
    </w:p>
    <w:p w:rsidR="00E36E2B" w:rsidRPr="00A20895" w:rsidRDefault="00E36E2B" w:rsidP="00E36E2B">
      <w:pPr>
        <w:tabs>
          <w:tab w:val="left" w:pos="10080"/>
        </w:tabs>
        <w:ind w:left="1260" w:right="578" w:hanging="720"/>
        <w:jc w:val="both"/>
        <w:rPr>
          <w:rFonts w:ascii="Arial" w:hAnsi="Arial" w:cs="Arial"/>
          <w:sz w:val="20"/>
          <w:szCs w:val="20"/>
        </w:rPr>
      </w:pPr>
    </w:p>
    <w:p w:rsidR="00E36E2B" w:rsidRPr="00A20895" w:rsidRDefault="00E36E2B" w:rsidP="00E36E2B">
      <w:pPr>
        <w:jc w:val="both"/>
        <w:rPr>
          <w:rFonts w:ascii="Arial" w:hAnsi="Arial"/>
        </w:rPr>
      </w:pPr>
    </w:p>
    <w:p w:rsidR="00E36E2B" w:rsidRPr="00A20895" w:rsidRDefault="00E36E2B" w:rsidP="00E36E2B">
      <w:pPr>
        <w:numPr>
          <w:ilvl w:val="0"/>
          <w:numId w:val="22"/>
        </w:numPr>
        <w:jc w:val="both"/>
        <w:rPr>
          <w:rFonts w:ascii="Arial" w:hAnsi="Arial"/>
          <w:b/>
        </w:rPr>
      </w:pPr>
      <w:r w:rsidRPr="00A20895">
        <w:rPr>
          <w:rFonts w:ascii="Arial" w:hAnsi="Arial"/>
          <w:b/>
        </w:rPr>
        <w:t>Rifiuti: produzione di rifiuti urbani</w:t>
      </w:r>
    </w:p>
    <w:p w:rsidR="00E36E2B" w:rsidRPr="00A20895" w:rsidRDefault="00E36E2B" w:rsidP="00E36E2B">
      <w:pPr>
        <w:jc w:val="both"/>
        <w:rPr>
          <w:rFonts w:ascii="Arial" w:hAnsi="Arial"/>
          <w:i/>
        </w:rPr>
      </w:pPr>
      <w:r w:rsidRPr="00A20895">
        <w:rPr>
          <w:rFonts w:ascii="Arial" w:hAnsi="Arial"/>
          <w:i/>
        </w:rPr>
        <w:t>(Produzione annua pro capite di rifiuti urbani (kg/ab); fonte: censimento Ecosistema Urbano XX)</w:t>
      </w:r>
    </w:p>
    <w:p w:rsidR="00E36E2B" w:rsidRPr="00A20895" w:rsidRDefault="00E36E2B" w:rsidP="00E36E2B">
      <w:pPr>
        <w:jc w:val="both"/>
        <w:rPr>
          <w:rFonts w:ascii="Arial" w:hAnsi="Arial"/>
          <w:sz w:val="10"/>
          <w:szCs w:val="10"/>
        </w:rPr>
      </w:pPr>
    </w:p>
    <w:p w:rsidR="00E36E2B" w:rsidRPr="00A20895" w:rsidRDefault="00E36E2B" w:rsidP="00E36E2B">
      <w:pPr>
        <w:jc w:val="both"/>
        <w:rPr>
          <w:rFonts w:ascii="Arial" w:hAnsi="Arial" w:cs="Arial"/>
          <w:sz w:val="20"/>
          <w:szCs w:val="20"/>
        </w:rPr>
      </w:pPr>
      <w:r w:rsidRPr="00A20895">
        <w:rPr>
          <w:rFonts w:ascii="Arial" w:hAnsi="Arial" w:cs="Arial"/>
          <w:sz w:val="20"/>
          <w:szCs w:val="20"/>
        </w:rPr>
        <w:t xml:space="preserve">È noto come la produzione di rifiuti rappresenti una delle pressioni ambientali maggiori delle nostre città, non solo laddove sono scoppiate delle vere e proprie emergenze legate alla loro raccolta e smaltimento, ma anche in quelle condizioni che rientrano nella norma. Proprio per questo motivo la riduzione della produzione dei rifiuti è un obiettivo importante presente in tutti i documenti e nelle politiche europee e nazionali. </w:t>
      </w:r>
    </w:p>
    <w:p w:rsidR="00E36E2B" w:rsidRPr="00A20895" w:rsidRDefault="00E36E2B" w:rsidP="00E36E2B">
      <w:pPr>
        <w:jc w:val="both"/>
        <w:rPr>
          <w:rFonts w:ascii="Arial" w:hAnsi="Arial" w:cs="Arial"/>
          <w:sz w:val="20"/>
          <w:szCs w:val="20"/>
        </w:rPr>
      </w:pPr>
      <w:r w:rsidRPr="00A20895">
        <w:rPr>
          <w:rFonts w:ascii="Arial" w:hAnsi="Arial" w:cs="Arial"/>
          <w:sz w:val="20"/>
          <w:szCs w:val="20"/>
        </w:rPr>
        <w:t xml:space="preserve">Nel 2012 la produzione pro capite di rifiuti urbani si è attestata in un intervallo che va da poco meno di </w:t>
      </w:r>
      <w:smartTag w:uri="urn:schemas-microsoft-com:office:smarttags" w:element="metricconverter">
        <w:smartTagPr>
          <w:attr w:name="ProductID" w:val="400 a"/>
        </w:smartTagPr>
        <w:r w:rsidRPr="00A20895">
          <w:rPr>
            <w:rFonts w:ascii="Arial" w:hAnsi="Arial" w:cs="Arial"/>
            <w:sz w:val="20"/>
            <w:szCs w:val="20"/>
          </w:rPr>
          <w:t>400 a</w:t>
        </w:r>
      </w:smartTag>
      <w:r w:rsidRPr="00A20895">
        <w:rPr>
          <w:rFonts w:ascii="Arial" w:hAnsi="Arial" w:cs="Arial"/>
          <w:sz w:val="20"/>
          <w:szCs w:val="20"/>
        </w:rPr>
        <w:t xml:space="preserve"> poco più di 800 kg/ab, con una media di </w:t>
      </w:r>
      <w:smartTag w:uri="urn:schemas-microsoft-com:office:smarttags" w:element="metricconverter">
        <w:smartTagPr>
          <w:attr w:name="ProductID" w:val="560,93 kg"/>
        </w:smartTagPr>
        <w:r w:rsidRPr="00A20895">
          <w:rPr>
            <w:rFonts w:ascii="Arial" w:hAnsi="Arial" w:cs="Arial"/>
            <w:sz w:val="20"/>
            <w:szCs w:val="20"/>
          </w:rPr>
          <w:t>560,93 kg</w:t>
        </w:r>
      </w:smartTag>
      <w:r w:rsidRPr="00A20895">
        <w:rPr>
          <w:rFonts w:ascii="Arial" w:hAnsi="Arial" w:cs="Arial"/>
          <w:sz w:val="20"/>
          <w:szCs w:val="20"/>
        </w:rPr>
        <w:t xml:space="preserve"> pro capite, a conferma di un continuo, seppur contenuto, calo che dura ormai da diversi anni (era di 568,82 nel 1011, 587,3 nel 2010 e </w:t>
      </w:r>
      <w:smartTag w:uri="urn:schemas-microsoft-com:office:smarttags" w:element="metricconverter">
        <w:smartTagPr>
          <w:attr w:name="ProductID" w:val="597,8 kg"/>
        </w:smartTagPr>
        <w:r w:rsidRPr="00A20895">
          <w:rPr>
            <w:rFonts w:ascii="Arial" w:hAnsi="Arial" w:cs="Arial"/>
            <w:sz w:val="20"/>
            <w:szCs w:val="20"/>
          </w:rPr>
          <w:t>597,8 kg</w:t>
        </w:r>
      </w:smartTag>
      <w:r w:rsidRPr="00A20895">
        <w:rPr>
          <w:rFonts w:ascii="Arial" w:hAnsi="Arial" w:cs="Arial"/>
          <w:sz w:val="20"/>
          <w:szCs w:val="20"/>
        </w:rPr>
        <w:t xml:space="preserve"> nel 2009). Questa diminuzione è presumibilmente imputabile più alla crisi economica che al diffondersi di buone pratiche di riduzione della produzione di rifiuti.</w:t>
      </w:r>
    </w:p>
    <w:p w:rsidR="00E36E2B" w:rsidRPr="00A20895" w:rsidRDefault="00E36E2B" w:rsidP="00E36E2B">
      <w:pPr>
        <w:jc w:val="both"/>
        <w:rPr>
          <w:rFonts w:ascii="Arial" w:hAnsi="Arial" w:cs="Arial"/>
          <w:sz w:val="20"/>
          <w:szCs w:val="20"/>
        </w:rPr>
      </w:pPr>
      <w:r w:rsidRPr="00A20895">
        <w:rPr>
          <w:rFonts w:ascii="Arial" w:hAnsi="Arial" w:cs="Arial"/>
          <w:sz w:val="20"/>
          <w:szCs w:val="20"/>
        </w:rPr>
        <w:t>Le città piccole (al di sotto degli 80.000 abitanti)  sono quelle che fanno registrare la media più bassa, con Benevento e Belluno in testa con una produzione annua addirittura al di sotto dei 400 kg/ab. Nel complesso si contano 33 capoluoghi di provincia la cui produzione di rifiuti annua risulta inferiore a 500 kg/ab (</w:t>
      </w:r>
      <w:smartTag w:uri="urn:schemas-microsoft-com:office:smarttags" w:element="metricconverter">
        <w:smartTagPr>
          <w:attr w:name="ProductID" w:val="2 in"/>
        </w:smartTagPr>
        <w:r w:rsidRPr="00A20895">
          <w:rPr>
            <w:rFonts w:ascii="Arial" w:hAnsi="Arial" w:cs="Arial"/>
            <w:sz w:val="20"/>
            <w:szCs w:val="20"/>
          </w:rPr>
          <w:t>2 in</w:t>
        </w:r>
      </w:smartTag>
      <w:r w:rsidRPr="00A20895">
        <w:rPr>
          <w:rFonts w:ascii="Arial" w:hAnsi="Arial" w:cs="Arial"/>
          <w:sz w:val="20"/>
          <w:szCs w:val="20"/>
        </w:rPr>
        <w:t xml:space="preserve"> più rispetto allo scorso anno). D’altro canto sono 3 le città con produzione superiore a 800 kg/ab, tra cui Pisa, che con i suoi 821,75 kg/ab è la città con la produzione pro capite più alta, seguita in stretta successione da Massa (816,09 kg/ab, dato 2011) e Rimini che, pur diminuendo di circa 10 kg/ab la sua produzione di rifiuti, raggiunge comunque gli 807,98 kg/ab. E’ interessante notare come, contrariamente a quanto si potrebbe pensare, fra le maggiori produttrici di rifiuti non sia presente nessuna delle grandi città che, in realtà, registrano anch’esse una produzione media inferiore ai 600 kg/ab.</w:t>
      </w:r>
    </w:p>
    <w:p w:rsidR="00E36E2B" w:rsidRPr="00A20895" w:rsidRDefault="00E36E2B" w:rsidP="00E36E2B">
      <w:pPr>
        <w:jc w:val="both"/>
        <w:rPr>
          <w:rFonts w:ascii="Arial" w:hAnsi="Arial" w:cs="Arial"/>
          <w:sz w:val="20"/>
          <w:szCs w:val="20"/>
        </w:rPr>
      </w:pPr>
      <w:r w:rsidRPr="00A20895">
        <w:rPr>
          <w:rFonts w:ascii="Arial" w:hAnsi="Arial" w:cs="Arial"/>
          <w:sz w:val="20"/>
          <w:szCs w:val="20"/>
        </w:rPr>
        <w:t>Infine è necessario sottolineare che le maggiori produzioni di rifiuti individuano con grande probabilità le città ad elevata affluenza turistica oppure quelle dove è maggiore la commistione con rifiuti assimilabili dall’industria.</w:t>
      </w:r>
    </w:p>
    <w:p w:rsidR="00E36E2B" w:rsidRPr="00A20895" w:rsidRDefault="00E36E2B" w:rsidP="00E36E2B">
      <w:pPr>
        <w:jc w:val="both"/>
        <w:rPr>
          <w:rFonts w:ascii="Arial" w:hAnsi="Arial" w:cs="Arial"/>
          <w:sz w:val="20"/>
          <w:szCs w:val="20"/>
        </w:rPr>
      </w:pPr>
    </w:p>
    <w:p w:rsidR="00E36E2B" w:rsidRPr="00A20895" w:rsidRDefault="00E36E2B" w:rsidP="00E36E2B">
      <w:pPr>
        <w:jc w:val="both"/>
        <w:rPr>
          <w:rFonts w:ascii="Arial" w:hAnsi="Arial"/>
        </w:rPr>
      </w:pPr>
    </w:p>
    <w:p w:rsidR="00E36E2B" w:rsidRPr="00A20895" w:rsidRDefault="00E36E2B" w:rsidP="00E36E2B">
      <w:pPr>
        <w:numPr>
          <w:ilvl w:val="0"/>
          <w:numId w:val="22"/>
        </w:numPr>
        <w:jc w:val="both"/>
        <w:rPr>
          <w:rFonts w:ascii="Arial" w:hAnsi="Arial"/>
          <w:b/>
        </w:rPr>
      </w:pPr>
      <w:r w:rsidRPr="00A20895">
        <w:rPr>
          <w:rFonts w:ascii="Arial" w:hAnsi="Arial"/>
          <w:b/>
        </w:rPr>
        <w:lastRenderedPageBreak/>
        <w:t>Rifiuti: raccolta differenziata</w:t>
      </w:r>
    </w:p>
    <w:p w:rsidR="00E36E2B" w:rsidRPr="00A20895" w:rsidRDefault="00E36E2B" w:rsidP="00E36E2B">
      <w:pPr>
        <w:jc w:val="both"/>
        <w:rPr>
          <w:rFonts w:ascii="Arial" w:hAnsi="Arial"/>
          <w:i/>
        </w:rPr>
      </w:pPr>
      <w:r w:rsidRPr="00A20895">
        <w:rPr>
          <w:rFonts w:ascii="Arial" w:hAnsi="Arial"/>
          <w:i/>
        </w:rPr>
        <w:t>(% di rifiuti differenziati (frazioni recuperabili) sul totale dei rifiuti urbani prodotti; fonte: censimento Ecosistema Urbano XX)</w:t>
      </w:r>
    </w:p>
    <w:p w:rsidR="00E36E2B" w:rsidRPr="00A20895" w:rsidRDefault="00E36E2B" w:rsidP="00E36E2B">
      <w:pPr>
        <w:jc w:val="both"/>
        <w:rPr>
          <w:rFonts w:ascii="Arial" w:hAnsi="Arial"/>
          <w:sz w:val="10"/>
          <w:szCs w:val="10"/>
        </w:rPr>
      </w:pPr>
    </w:p>
    <w:p w:rsidR="00E36E2B" w:rsidRPr="00A20895" w:rsidRDefault="00E36E2B" w:rsidP="00E36E2B">
      <w:pPr>
        <w:jc w:val="both"/>
        <w:rPr>
          <w:rFonts w:ascii="Arial" w:hAnsi="Arial"/>
          <w:sz w:val="20"/>
          <w:szCs w:val="20"/>
        </w:rPr>
      </w:pPr>
      <w:r w:rsidRPr="00A20895">
        <w:rPr>
          <w:rFonts w:ascii="Arial" w:hAnsi="Arial"/>
          <w:sz w:val="20"/>
          <w:szCs w:val="20"/>
        </w:rPr>
        <w:t xml:space="preserve">La percentuale di raccolta differenziata (RD) sul totale dei rifiuti urbani nel 2012 si è attestata su un valore medio (ponderato) di 39,26% che rappresenta un ulteriore incremento rispetto al 37,96% riscontrato nella scorsa edizione di Ecosistema Urbano. Tuttavia anche quest’anno i dati testimoniano che il raggiungimento degli obiettivi di legge è ancora lontano: quello per il 2012, fissato al 65%, è stato raggiunto solo da 9 città, mentre la soglia prevista per il 2011 (60%) è stata toccata da altri 14 capoluoghi di provincia; infine, anche l’obiettivo del 35%, previsto per ben 7 anni fa (2006), non è stato ancora raggiunto da 39 comuni. Tra le migliori se ne distinguono 3 che hanno portato </w:t>
      </w:r>
      <w:smartTag w:uri="urn:schemas-microsoft-com:office:smarttags" w:element="PersonName">
        <w:smartTagPr>
          <w:attr w:name="ProductID" w:val="la RD"/>
        </w:smartTagPr>
        <w:r w:rsidRPr="00A20895">
          <w:rPr>
            <w:rFonts w:ascii="Arial" w:hAnsi="Arial"/>
            <w:sz w:val="20"/>
            <w:szCs w:val="20"/>
          </w:rPr>
          <w:t>la RD</w:t>
        </w:r>
      </w:smartTag>
      <w:r w:rsidRPr="00A20895">
        <w:rPr>
          <w:rFonts w:ascii="Arial" w:hAnsi="Arial"/>
          <w:sz w:val="20"/>
          <w:szCs w:val="20"/>
        </w:rPr>
        <w:t xml:space="preserve"> a percentuali superiori al 70%: Pordenone (79%), Verbania (72%) e Belluno (con poco più del 70%). Le città con RD inferiore al 15% sono aumentate (17 contro le 14 dello scorso anno), tra cui si ricordano Enna (ferma all’1%), Siracusa (che dal 4% del 2011 scende ulteriormente al 3%), Foggia (4%), Catanzaro e Messina (entrambe con il 5% di RD).</w:t>
      </w:r>
    </w:p>
    <w:p w:rsidR="00E36E2B" w:rsidRPr="00A20895" w:rsidRDefault="00E36E2B" w:rsidP="00E36E2B">
      <w:pPr>
        <w:jc w:val="both"/>
        <w:rPr>
          <w:rFonts w:ascii="Arial" w:hAnsi="Arial"/>
          <w:sz w:val="20"/>
          <w:szCs w:val="20"/>
        </w:rPr>
      </w:pPr>
      <w:r w:rsidRPr="00A20895">
        <w:rPr>
          <w:rFonts w:ascii="Arial" w:hAnsi="Arial"/>
          <w:sz w:val="20"/>
          <w:szCs w:val="20"/>
        </w:rPr>
        <w:t xml:space="preserve">A conferma di una tendenza che si era già espressa negli ultimi anni, nelle città del Sud </w:t>
      </w:r>
      <w:smartTag w:uri="urn:schemas-microsoft-com:office:smarttags" w:element="PersonName">
        <w:smartTagPr>
          <w:attr w:name="ProductID" w:val="la RD"/>
        </w:smartTagPr>
        <w:r w:rsidRPr="00A20895">
          <w:rPr>
            <w:rFonts w:ascii="Arial" w:hAnsi="Arial"/>
            <w:sz w:val="20"/>
            <w:szCs w:val="20"/>
          </w:rPr>
          <w:t>la RD</w:t>
        </w:r>
      </w:smartTag>
      <w:r w:rsidRPr="00A20895">
        <w:rPr>
          <w:rFonts w:ascii="Arial" w:hAnsi="Arial"/>
          <w:sz w:val="20"/>
          <w:szCs w:val="20"/>
        </w:rPr>
        <w:t xml:space="preserve"> si sta diffondendo come buona pratica: città come Benevento, Oristano e Salerno hanno percentuali superiori al 60%. Tuttavia bisogna ricordare che le città che presentano i valori peggiori (con un RD inferiore al 20%) si trovano esclusivamente al Sud, con l’eccezione di Rieti e Viterbo. In particolare in Sicilia e Puglia molti capoluoghi sono ancora sotto il 15% di raccolta differenziata, se non addirittura il 10%.</w:t>
      </w:r>
    </w:p>
    <w:p w:rsidR="00E36E2B" w:rsidRPr="00A20895" w:rsidRDefault="00E36E2B" w:rsidP="00E36E2B">
      <w:pPr>
        <w:jc w:val="both"/>
        <w:rPr>
          <w:rFonts w:ascii="Arial" w:hAnsi="Arial"/>
          <w:sz w:val="20"/>
          <w:szCs w:val="20"/>
        </w:rPr>
      </w:pPr>
      <w:r w:rsidRPr="00A20895">
        <w:rPr>
          <w:rFonts w:ascii="Arial" w:hAnsi="Arial"/>
          <w:sz w:val="20"/>
          <w:szCs w:val="20"/>
        </w:rPr>
        <w:t>Alcuni comuni hanno fortemente incentivato questa pratica durante il 2012 facendo segnalare aumenti superiori ai dieci fino oltre i 20 punti percentuali: Chieti, Vercelli e Varese.</w:t>
      </w:r>
    </w:p>
    <w:p w:rsidR="00E36E2B" w:rsidRPr="00A20895" w:rsidRDefault="00E36E2B" w:rsidP="00E36E2B">
      <w:pPr>
        <w:jc w:val="both"/>
        <w:rPr>
          <w:rFonts w:ascii="Arial" w:hAnsi="Arial"/>
          <w:sz w:val="20"/>
          <w:szCs w:val="20"/>
        </w:rPr>
      </w:pPr>
      <w:r w:rsidRPr="00A20895">
        <w:rPr>
          <w:rFonts w:ascii="Arial" w:hAnsi="Arial"/>
          <w:sz w:val="20"/>
          <w:szCs w:val="20"/>
        </w:rPr>
        <w:t xml:space="preserve">Infine si precisa che, in alcuni casi, i dati presentati risultano sottostimati rispetto a quanto dichiarato dai comuni poiché, per esigenze di comparabilità, la quota di raccolta differenziata viene calcolata al netto di alcune voci (la più rilevante, ad esempio, è quella degli inerti). </w:t>
      </w:r>
    </w:p>
    <w:p w:rsidR="00E36E2B" w:rsidRPr="00A20895" w:rsidRDefault="00E36E2B" w:rsidP="00E36E2B">
      <w:pPr>
        <w:jc w:val="both"/>
        <w:rPr>
          <w:rFonts w:ascii="Arial" w:hAnsi="Arial"/>
          <w:sz w:val="20"/>
          <w:szCs w:val="20"/>
        </w:rPr>
      </w:pPr>
    </w:p>
    <w:p w:rsidR="00E36E2B" w:rsidRPr="00A20895" w:rsidRDefault="00E36E2B" w:rsidP="00E36E2B">
      <w:pPr>
        <w:jc w:val="both"/>
        <w:rPr>
          <w:rFonts w:ascii="Arial" w:hAnsi="Arial"/>
          <w:sz w:val="20"/>
          <w:szCs w:val="20"/>
        </w:rPr>
      </w:pPr>
    </w:p>
    <w:p w:rsidR="00E36E2B" w:rsidRPr="00A20895" w:rsidRDefault="00E36E2B" w:rsidP="00E36E2B">
      <w:pPr>
        <w:jc w:val="both"/>
        <w:rPr>
          <w:rFonts w:ascii="Arial" w:hAnsi="Arial" w:cs="Arial"/>
          <w:sz w:val="20"/>
          <w:szCs w:val="20"/>
        </w:rPr>
      </w:pPr>
    </w:p>
    <w:p w:rsidR="00E36E2B" w:rsidRPr="00A20895" w:rsidRDefault="00E36E2B" w:rsidP="00E36E2B">
      <w:pPr>
        <w:numPr>
          <w:ilvl w:val="0"/>
          <w:numId w:val="22"/>
        </w:numPr>
        <w:jc w:val="both"/>
        <w:rPr>
          <w:rFonts w:ascii="Arial" w:hAnsi="Arial"/>
          <w:b/>
        </w:rPr>
      </w:pPr>
      <w:r w:rsidRPr="00A20895">
        <w:rPr>
          <w:rFonts w:ascii="Arial" w:hAnsi="Arial"/>
          <w:b/>
        </w:rPr>
        <w:t xml:space="preserve"> Trasporto pubblico: passeggeri</w:t>
      </w:r>
    </w:p>
    <w:p w:rsidR="00E36E2B" w:rsidRPr="00A20895" w:rsidRDefault="00E36E2B" w:rsidP="00E36E2B">
      <w:pPr>
        <w:jc w:val="both"/>
        <w:rPr>
          <w:rFonts w:ascii="Arial" w:hAnsi="Arial"/>
          <w:i/>
        </w:rPr>
      </w:pPr>
      <w:r w:rsidRPr="00A20895">
        <w:rPr>
          <w:rFonts w:ascii="Arial" w:hAnsi="Arial"/>
          <w:i/>
        </w:rPr>
        <w:t xml:space="preserve"> (Passeggeri trasportati annualmente per abitante dal trasporto pubblico (passeggeri/ab); fonte: censimento Ecosistema Urbano XX)</w:t>
      </w:r>
    </w:p>
    <w:p w:rsidR="00E36E2B" w:rsidRPr="00A20895" w:rsidRDefault="00E36E2B" w:rsidP="00E36E2B">
      <w:pPr>
        <w:jc w:val="both"/>
        <w:rPr>
          <w:rFonts w:ascii="Arial" w:hAnsi="Arial"/>
          <w:sz w:val="10"/>
          <w:szCs w:val="10"/>
        </w:rPr>
      </w:pPr>
    </w:p>
    <w:p w:rsidR="00E36E2B" w:rsidRPr="00A20895" w:rsidRDefault="00E36E2B" w:rsidP="00E36E2B">
      <w:pPr>
        <w:jc w:val="both"/>
        <w:rPr>
          <w:rFonts w:ascii="Arial" w:hAnsi="Arial"/>
          <w:sz w:val="20"/>
          <w:szCs w:val="20"/>
        </w:rPr>
      </w:pPr>
      <w:r w:rsidRPr="00A20895">
        <w:rPr>
          <w:rFonts w:ascii="Arial" w:hAnsi="Arial"/>
          <w:sz w:val="20"/>
          <w:szCs w:val="20"/>
        </w:rPr>
        <w:t xml:space="preserve">Gli indicatori del trasporto pubblico sono tra quelli da cui si evince in modo più evidente la differenza di prestazione in relazione alla dimensione delle città, basti notare come la media del servizio sia direttamente proporzionale alla popolazione: nelle città di piccole dimensioni ogni cittadino compie in media 38 viaggi all’anno, che passano a </w:t>
      </w:r>
      <w:smartTag w:uri="urn:schemas-microsoft-com:office:smarttags" w:element="metricconverter">
        <w:smartTagPr>
          <w:attr w:name="ProductID" w:val="73 in"/>
        </w:smartTagPr>
        <w:r w:rsidRPr="00A20895">
          <w:rPr>
            <w:rFonts w:ascii="Arial" w:hAnsi="Arial"/>
            <w:sz w:val="20"/>
            <w:szCs w:val="20"/>
          </w:rPr>
          <w:t>73 in</w:t>
        </w:r>
      </w:smartTag>
      <w:r w:rsidRPr="00A20895">
        <w:rPr>
          <w:rFonts w:ascii="Arial" w:hAnsi="Arial"/>
          <w:sz w:val="20"/>
          <w:szCs w:val="20"/>
        </w:rPr>
        <w:t xml:space="preserve"> quelle medie e 219 nelle grandi (per la maggior parte in generale diminuzione rispetto al 2011).</w:t>
      </w:r>
    </w:p>
    <w:p w:rsidR="00E36E2B" w:rsidRPr="00A20895" w:rsidRDefault="00E36E2B" w:rsidP="00E36E2B">
      <w:pPr>
        <w:jc w:val="both"/>
        <w:rPr>
          <w:rFonts w:ascii="Arial" w:hAnsi="Arial"/>
          <w:sz w:val="20"/>
          <w:szCs w:val="20"/>
        </w:rPr>
      </w:pPr>
      <w:r w:rsidRPr="00A20895">
        <w:rPr>
          <w:rFonts w:ascii="Arial" w:hAnsi="Arial"/>
          <w:sz w:val="20"/>
          <w:szCs w:val="20"/>
        </w:rPr>
        <w:t>Tra le grandi città ai primi tre posti si riconfermano anche in questa edizione Venezia (con 564 passeggeri/ab) e Milano (484 passeggeri/ab), che scavalca Roma con 434 pass/ab; successivamente si trovano Trieste e Genova, entrambe con un numero di passeggeri per abitante annui al sotto di 315. Esattamente come gli scorsi due anni Bari, Catania e Palermo non raggiungono la soglia dei 100 passeggeri/ab, insieme a Messina (con soli 24 pass/ab).</w:t>
      </w:r>
    </w:p>
    <w:p w:rsidR="00E36E2B" w:rsidRPr="00A20895" w:rsidRDefault="00E36E2B" w:rsidP="00E36E2B">
      <w:pPr>
        <w:jc w:val="both"/>
        <w:rPr>
          <w:rFonts w:ascii="Arial" w:hAnsi="Arial"/>
          <w:sz w:val="20"/>
          <w:szCs w:val="20"/>
        </w:rPr>
      </w:pPr>
      <w:r w:rsidRPr="00A20895">
        <w:rPr>
          <w:rFonts w:ascii="Arial" w:hAnsi="Arial"/>
          <w:sz w:val="20"/>
          <w:szCs w:val="20"/>
        </w:rPr>
        <w:t>Per quanto riguarda le città di medie dimensioni, i comuni con più di 160 passeggeri/ab sono due (Trento e Brescia), con Parma che comunque supera i 150 passeggeri/ab. Mentre, all’altro capo della classifica, sono sei i capoluoghi che registrano valori al di sotto dei 25 passeggeri/ab: Grosseto, Lucca, Lecce, Siracusa, Brindisi e ultima Latina, con 7 passeggeri per abitante annui.</w:t>
      </w:r>
    </w:p>
    <w:p w:rsidR="00E36E2B" w:rsidRPr="00A20895" w:rsidRDefault="00E36E2B" w:rsidP="00E36E2B">
      <w:pPr>
        <w:jc w:val="both"/>
        <w:rPr>
          <w:rFonts w:ascii="Arial" w:hAnsi="Arial"/>
          <w:sz w:val="20"/>
          <w:szCs w:val="20"/>
        </w:rPr>
      </w:pPr>
      <w:r w:rsidRPr="00A20895">
        <w:rPr>
          <w:rFonts w:ascii="Arial" w:hAnsi="Arial"/>
          <w:sz w:val="20"/>
          <w:szCs w:val="20"/>
        </w:rPr>
        <w:t>Tra i comuni più piccoli Siena eccelle con un dato di 220 passeggeri/ab (sempre in aumento rispetto agli scorsi anni), che le permetterebbe di competere con le città di grandi dimensioni. Sempre tra le piccole, Pavia e Chieti superano gli 80 passeggeri/ab) e sopra i 60 passeggeri/ab si collocano Belluno, Verbania e Lecco. Anche in questa edizione si trovano sei città, in aumento rispetto alle quattro della passata edizione, che non raggiungono la soglia dei 10 passeggeri per abitante annui: Oristano, Caltanissetta, Ragusa, Sondrio, Crotone e Vibo Valentia.</w:t>
      </w:r>
    </w:p>
    <w:p w:rsidR="00E36E2B" w:rsidRPr="00A20895" w:rsidRDefault="00E36E2B" w:rsidP="00E36E2B">
      <w:pPr>
        <w:jc w:val="both"/>
        <w:rPr>
          <w:rFonts w:ascii="Arial" w:hAnsi="Arial"/>
        </w:rPr>
      </w:pPr>
      <w:r w:rsidRPr="00A20895">
        <w:rPr>
          <w:rFonts w:ascii="Arial" w:hAnsi="Arial"/>
          <w:sz w:val="20"/>
          <w:szCs w:val="20"/>
        </w:rPr>
        <w:t>Come per i dati sui rifiuti solidi urbani, anche per quelli sul trasporto pubblico è opportuno precisare che il valore dei passeggeri trasportati per abitante è comunque influenzato da due fattori importanti che determinano notevoli variazioni: la presenza turistica e l'incidenza del pendolarismo. Inoltre, laddove il dato fornito è a scala comunale, è stata considerata la popolazione residente, mentre in presenza di un dato comprensivo anche dell’extraurbano, si è fatto ricorso ad un bacino degli “ipotetici utenti”, pari alla somma della popolazione residente nel comune e di metà di quella non residente ma inclusa nel bacino. Così facendo si è ovviato alla difficoltà che ad un bacino di utenza allargato, non corrisponda mai un maggiore numero di passeggeri della stessa proporzione, pur con la consapevolezza che la scelta effettuata possa non rappresentare efficacemente le varie situazioni presenti.</w:t>
      </w:r>
    </w:p>
    <w:p w:rsidR="00E36E2B" w:rsidRPr="00A20895" w:rsidRDefault="00E36E2B" w:rsidP="00E36E2B">
      <w:pPr>
        <w:jc w:val="both"/>
        <w:rPr>
          <w:rFonts w:ascii="Arial" w:hAnsi="Arial"/>
        </w:rPr>
      </w:pPr>
    </w:p>
    <w:p w:rsidR="00E36E2B" w:rsidRPr="00A20895" w:rsidRDefault="00E36E2B" w:rsidP="00E36E2B">
      <w:pPr>
        <w:jc w:val="both"/>
        <w:rPr>
          <w:rFonts w:ascii="Arial" w:hAnsi="Arial"/>
        </w:rPr>
      </w:pPr>
    </w:p>
    <w:p w:rsidR="00E36E2B" w:rsidRPr="00A20895" w:rsidRDefault="00E36E2B" w:rsidP="00E36E2B">
      <w:pPr>
        <w:numPr>
          <w:ilvl w:val="0"/>
          <w:numId w:val="22"/>
        </w:numPr>
        <w:jc w:val="both"/>
        <w:rPr>
          <w:rFonts w:ascii="Arial" w:hAnsi="Arial"/>
          <w:b/>
        </w:rPr>
      </w:pPr>
      <w:r w:rsidRPr="00A20895">
        <w:rPr>
          <w:rFonts w:ascii="Arial" w:hAnsi="Arial"/>
          <w:b/>
        </w:rPr>
        <w:t>Trasporto pubblico: offerta</w:t>
      </w:r>
    </w:p>
    <w:p w:rsidR="00E36E2B" w:rsidRPr="00A20895" w:rsidRDefault="00E36E2B" w:rsidP="00E36E2B">
      <w:pPr>
        <w:jc w:val="both"/>
        <w:rPr>
          <w:rFonts w:ascii="Arial" w:hAnsi="Arial"/>
          <w:i/>
        </w:rPr>
      </w:pPr>
      <w:r w:rsidRPr="00A20895">
        <w:rPr>
          <w:rFonts w:ascii="Arial" w:hAnsi="Arial"/>
          <w:i/>
        </w:rPr>
        <w:t xml:space="preserve"> (Percorrenza annua per abitante del trasporto pubblico (Km-vetture/ab); fonte: censimento Ecosistema Urbano XX)</w:t>
      </w:r>
    </w:p>
    <w:p w:rsidR="00E36E2B" w:rsidRPr="00A20895" w:rsidRDefault="00E36E2B" w:rsidP="00E36E2B">
      <w:pPr>
        <w:jc w:val="both"/>
        <w:rPr>
          <w:rFonts w:ascii="Arial" w:hAnsi="Arial"/>
          <w:sz w:val="10"/>
          <w:szCs w:val="10"/>
        </w:rPr>
      </w:pPr>
    </w:p>
    <w:p w:rsidR="00E36E2B" w:rsidRPr="00A20895" w:rsidRDefault="00E36E2B" w:rsidP="00E36E2B">
      <w:pPr>
        <w:jc w:val="both"/>
        <w:rPr>
          <w:rFonts w:ascii="Arial" w:hAnsi="Arial"/>
          <w:sz w:val="20"/>
          <w:szCs w:val="20"/>
        </w:rPr>
      </w:pPr>
      <w:r w:rsidRPr="00A20895">
        <w:rPr>
          <w:rFonts w:ascii="Arial" w:hAnsi="Arial"/>
          <w:sz w:val="20"/>
          <w:szCs w:val="20"/>
        </w:rPr>
        <w:t xml:space="preserve">L’offerta di trasporto pubblico viene calcolata come i chilometri percorsi annualmente dalle vetture per ogni abitante residente, scegliendo il numero di abitanti in maniera analoga a quanto fatto per il precedente indicatore di uso del trasporto pubblico. </w:t>
      </w:r>
    </w:p>
    <w:p w:rsidR="00E36E2B" w:rsidRPr="00A20895" w:rsidRDefault="00E36E2B" w:rsidP="00E36E2B">
      <w:pPr>
        <w:jc w:val="both"/>
        <w:rPr>
          <w:rFonts w:ascii="Arial" w:hAnsi="Arial"/>
          <w:sz w:val="20"/>
          <w:szCs w:val="20"/>
        </w:rPr>
      </w:pPr>
      <w:r w:rsidRPr="00A20895">
        <w:rPr>
          <w:rFonts w:ascii="Arial" w:hAnsi="Arial"/>
          <w:sz w:val="20"/>
          <w:szCs w:val="20"/>
        </w:rPr>
        <w:t>Va innanzitutto segnalato che, come nel 2011, anche quest’anno si osserva una generale flessione dell’offerta di trasporto pubblico dovuta ai tagli dei trasferimenti statali di finanziamenti per il TPL che hanno costretto i Comuni a operare riduzioni dei servizi offerti.</w:t>
      </w:r>
    </w:p>
    <w:p w:rsidR="00E36E2B" w:rsidRPr="00A20895" w:rsidRDefault="00E36E2B" w:rsidP="00E36E2B">
      <w:pPr>
        <w:jc w:val="both"/>
        <w:rPr>
          <w:rFonts w:ascii="Arial" w:hAnsi="Arial"/>
          <w:sz w:val="20"/>
          <w:szCs w:val="20"/>
        </w:rPr>
      </w:pPr>
      <w:r w:rsidRPr="00A20895">
        <w:rPr>
          <w:rFonts w:ascii="Arial" w:hAnsi="Arial"/>
          <w:sz w:val="20"/>
          <w:szCs w:val="20"/>
        </w:rPr>
        <w:t>Tra le grandi città quattro offrono un servizio di trasporto pubblico di almeno 60 km-vetture per abitante, con Milano in prima posizione a quota 89 Km-vetture/ab, seguita da Roma (</w:t>
      </w:r>
      <w:smartTag w:uri="urn:schemas-microsoft-com:office:smarttags" w:element="metricconverter">
        <w:smartTagPr>
          <w:attr w:name="ProductID" w:val="70, in"/>
        </w:smartTagPr>
        <w:r w:rsidRPr="00A20895">
          <w:rPr>
            <w:rFonts w:ascii="Arial" w:hAnsi="Arial"/>
            <w:sz w:val="20"/>
            <w:szCs w:val="20"/>
          </w:rPr>
          <w:t>70, in</w:t>
        </w:r>
      </w:smartTag>
      <w:r w:rsidRPr="00A20895">
        <w:rPr>
          <w:rFonts w:ascii="Arial" w:hAnsi="Arial"/>
          <w:sz w:val="20"/>
          <w:szCs w:val="20"/>
        </w:rPr>
        <w:t xml:space="preserve"> aumento rispetto al 2011), Venezia (66, sorpassata da Roma ma anch’essa in leggero aumento) e Trieste (costante con 61). Alle ultime posizioni si trovano Palermo e Verona che, analogamente all’anno scorso, non raggiungono i 30 km-vetture/ab (rispettivamente ne offrono 25 e 22). In ultima posizione Messina che di poco supera 10 km-vetture per abitante.</w:t>
      </w:r>
    </w:p>
    <w:p w:rsidR="00E36E2B" w:rsidRPr="00A20895" w:rsidRDefault="00E36E2B" w:rsidP="00E36E2B">
      <w:pPr>
        <w:jc w:val="both"/>
        <w:rPr>
          <w:rFonts w:ascii="Arial" w:hAnsi="Arial"/>
          <w:sz w:val="20"/>
          <w:szCs w:val="20"/>
        </w:rPr>
      </w:pPr>
      <w:r w:rsidRPr="00A20895">
        <w:rPr>
          <w:rFonts w:ascii="Arial" w:hAnsi="Arial"/>
          <w:sz w:val="20"/>
          <w:szCs w:val="20"/>
        </w:rPr>
        <w:t>Tra i capoluoghi di medie dimensioni si registra una generale flessione dell’offerta di trasporto pubblico: Trento è in testa alla classifica con 50 km-vetture/ab, superando così Cagliari (49 km-vetture/ab), seguita da altre 3 città sopra i 40 km-vetture/ab (</w:t>
      </w:r>
      <w:smartTag w:uri="urn:schemas-microsoft-com:office:smarttags" w:element="PersonName">
        <w:smartTagPr>
          <w:attr w:name="ProductID" w:val="La Spezia"/>
        </w:smartTagPr>
        <w:r w:rsidRPr="00A20895">
          <w:rPr>
            <w:rFonts w:ascii="Arial" w:hAnsi="Arial"/>
            <w:sz w:val="20"/>
            <w:szCs w:val="20"/>
          </w:rPr>
          <w:t>La Spezia</w:t>
        </w:r>
      </w:smartTag>
      <w:r w:rsidRPr="00A20895">
        <w:rPr>
          <w:rFonts w:ascii="Arial" w:hAnsi="Arial"/>
          <w:sz w:val="20"/>
          <w:szCs w:val="20"/>
        </w:rPr>
        <w:t>, Parma e Taranto). Come per il 2011, agli ultimi posti della classifica si trovano 19 città che hanno un’offerta minore ai 25 km-vetture/ab, con Pistoia e Siracusa ferme a quota 8 km-vetture/ab.</w:t>
      </w:r>
    </w:p>
    <w:p w:rsidR="00E36E2B" w:rsidRPr="00A20895" w:rsidRDefault="00E36E2B" w:rsidP="00E36E2B">
      <w:pPr>
        <w:jc w:val="both"/>
        <w:rPr>
          <w:rFonts w:ascii="Arial" w:hAnsi="Arial"/>
          <w:sz w:val="20"/>
          <w:szCs w:val="20"/>
        </w:rPr>
      </w:pPr>
      <w:r w:rsidRPr="00A20895">
        <w:rPr>
          <w:rFonts w:ascii="Arial" w:hAnsi="Arial"/>
          <w:sz w:val="20"/>
          <w:szCs w:val="20"/>
        </w:rPr>
        <w:t>Analogamente a quanto è accaduto per l’indicatore precedente, Siena svetta in cima alla classifica delle città piccole con 65 km-vetture/ab, seguita da L’Aquila (59). Al contrario, Ragusa, Vibo Valentia, Sondrio, Massa, Caltanissetta e Vercelli non raggiungono i 10 km-vetture/ab.</w:t>
      </w:r>
    </w:p>
    <w:p w:rsidR="00E36E2B" w:rsidRPr="00A20895" w:rsidRDefault="00E36E2B" w:rsidP="00E36E2B">
      <w:pPr>
        <w:jc w:val="both"/>
        <w:rPr>
          <w:rFonts w:ascii="Arial" w:hAnsi="Arial"/>
          <w:sz w:val="20"/>
          <w:szCs w:val="20"/>
        </w:rPr>
      </w:pPr>
      <w:r w:rsidRPr="00A20895">
        <w:rPr>
          <w:rFonts w:ascii="Arial" w:hAnsi="Arial"/>
          <w:sz w:val="20"/>
          <w:szCs w:val="20"/>
        </w:rPr>
        <w:t xml:space="preserve">Anche per l’offerta di trasporto pubblico, come per i passeggeri, le dimensioni delle città influiscono sui valori rilevati: se nelle città grandi, ad esempio, ogni vettura compie </w:t>
      </w:r>
      <w:smartTag w:uri="urn:schemas-microsoft-com:office:smarttags" w:element="metricconverter">
        <w:smartTagPr>
          <w:attr w:name="ProductID" w:val="44 km"/>
        </w:smartTagPr>
        <w:r w:rsidRPr="00A20895">
          <w:rPr>
            <w:rFonts w:ascii="Arial" w:hAnsi="Arial"/>
            <w:sz w:val="20"/>
            <w:szCs w:val="20"/>
          </w:rPr>
          <w:t>44 km</w:t>
        </w:r>
      </w:smartTag>
      <w:r w:rsidRPr="00A20895">
        <w:rPr>
          <w:rFonts w:ascii="Arial" w:hAnsi="Arial"/>
          <w:sz w:val="20"/>
          <w:szCs w:val="20"/>
        </w:rPr>
        <w:t xml:space="preserve"> per abitante, nelle città medie si scende a 27 e in quelle piccole a 21.</w:t>
      </w:r>
    </w:p>
    <w:p w:rsidR="00E36E2B" w:rsidRPr="00A20895" w:rsidRDefault="00E36E2B" w:rsidP="00E36E2B">
      <w:pPr>
        <w:jc w:val="both"/>
        <w:rPr>
          <w:rFonts w:ascii="Arial" w:hAnsi="Arial"/>
          <w:sz w:val="20"/>
          <w:szCs w:val="20"/>
        </w:rPr>
      </w:pPr>
    </w:p>
    <w:p w:rsidR="00E36E2B" w:rsidRPr="00A20895" w:rsidRDefault="00E36E2B" w:rsidP="00E36E2B">
      <w:pPr>
        <w:jc w:val="both"/>
        <w:rPr>
          <w:rFonts w:ascii="Arial" w:hAnsi="Arial"/>
          <w:sz w:val="20"/>
          <w:szCs w:val="20"/>
        </w:rPr>
      </w:pPr>
    </w:p>
    <w:p w:rsidR="00E36E2B" w:rsidRPr="00A20895" w:rsidRDefault="00E36E2B" w:rsidP="00E36E2B">
      <w:pPr>
        <w:jc w:val="both"/>
        <w:rPr>
          <w:rFonts w:ascii="Arial" w:hAnsi="Arial"/>
          <w:sz w:val="20"/>
          <w:szCs w:val="20"/>
        </w:rPr>
      </w:pPr>
    </w:p>
    <w:p w:rsidR="00E36E2B" w:rsidRPr="00A20895" w:rsidRDefault="00E36E2B" w:rsidP="00E36E2B">
      <w:pPr>
        <w:jc w:val="both"/>
        <w:rPr>
          <w:rFonts w:ascii="Arial" w:hAnsi="Arial"/>
          <w:sz w:val="20"/>
          <w:szCs w:val="20"/>
        </w:rPr>
      </w:pPr>
    </w:p>
    <w:p w:rsidR="00E36E2B" w:rsidRPr="00A20895" w:rsidRDefault="00E36E2B" w:rsidP="00E36E2B">
      <w:pPr>
        <w:jc w:val="both"/>
        <w:rPr>
          <w:rFonts w:ascii="Arial" w:hAnsi="Arial"/>
          <w:sz w:val="20"/>
          <w:szCs w:val="20"/>
        </w:rPr>
      </w:pPr>
    </w:p>
    <w:p w:rsidR="00E36E2B" w:rsidRPr="00A20895" w:rsidRDefault="00E36E2B" w:rsidP="00E36E2B">
      <w:pPr>
        <w:jc w:val="both"/>
        <w:rPr>
          <w:rFonts w:ascii="Arial" w:hAnsi="Arial"/>
          <w:sz w:val="20"/>
          <w:szCs w:val="20"/>
        </w:rPr>
      </w:pPr>
    </w:p>
    <w:p w:rsidR="00E36E2B" w:rsidRPr="00A20895" w:rsidRDefault="00E36E2B" w:rsidP="00E36E2B">
      <w:pPr>
        <w:jc w:val="both"/>
        <w:rPr>
          <w:rFonts w:ascii="Arial" w:hAnsi="Arial"/>
        </w:rPr>
      </w:pPr>
    </w:p>
    <w:p w:rsidR="00E36E2B" w:rsidRPr="00A20895" w:rsidRDefault="00E36E2B" w:rsidP="00E36E2B">
      <w:pPr>
        <w:numPr>
          <w:ilvl w:val="0"/>
          <w:numId w:val="22"/>
        </w:numPr>
        <w:jc w:val="both"/>
        <w:rPr>
          <w:rFonts w:ascii="Arial" w:hAnsi="Arial"/>
          <w:b/>
        </w:rPr>
      </w:pPr>
      <w:r w:rsidRPr="00A20895">
        <w:rPr>
          <w:rFonts w:ascii="Arial" w:hAnsi="Arial"/>
          <w:b/>
        </w:rPr>
        <w:t xml:space="preserve"> Mobilità sostenibile</w:t>
      </w:r>
    </w:p>
    <w:p w:rsidR="00E36E2B" w:rsidRPr="00A20895" w:rsidRDefault="00E36E2B" w:rsidP="00E36E2B">
      <w:pPr>
        <w:jc w:val="both"/>
        <w:rPr>
          <w:rFonts w:ascii="Arial" w:hAnsi="Arial"/>
          <w:i/>
        </w:rPr>
      </w:pPr>
      <w:r w:rsidRPr="00A20895">
        <w:rPr>
          <w:rFonts w:ascii="Arial" w:hAnsi="Arial"/>
          <w:i/>
        </w:rPr>
        <w:t xml:space="preserve"> (Indice (massimo 100) composto da: presenza di autobus a chiamata, controlli varchi ZTL, presenza di mobility manager, car-sharing, Piano spostamenti casa-lavoro, pedibus/bicibus; fonte: censimento Ecosistema Urbano XX)</w:t>
      </w:r>
    </w:p>
    <w:p w:rsidR="00E36E2B" w:rsidRPr="00A20895" w:rsidRDefault="00E36E2B" w:rsidP="00E36E2B">
      <w:pPr>
        <w:jc w:val="both"/>
        <w:rPr>
          <w:rFonts w:ascii="Arial" w:hAnsi="Arial"/>
          <w:sz w:val="10"/>
          <w:szCs w:val="10"/>
        </w:rPr>
      </w:pPr>
    </w:p>
    <w:p w:rsidR="00E36E2B" w:rsidRPr="00A20895" w:rsidRDefault="00E36E2B" w:rsidP="00E36E2B">
      <w:pPr>
        <w:jc w:val="both"/>
        <w:rPr>
          <w:rFonts w:ascii="Arial" w:hAnsi="Arial"/>
          <w:sz w:val="20"/>
          <w:szCs w:val="20"/>
        </w:rPr>
      </w:pPr>
      <w:r w:rsidRPr="00A20895">
        <w:rPr>
          <w:rFonts w:ascii="Arial" w:hAnsi="Arial"/>
          <w:sz w:val="20"/>
          <w:szCs w:val="20"/>
        </w:rPr>
        <w:t>L’indice sintetico ”mobilità sostenibile” (con valori da 0 a 100) ha lo scopo di misurare la capacità, da parte delle amministrazioni comunali, di attivare un ventaglio di strumenti che favoriscano lo sviluppo della mobilità sostenibile.</w:t>
      </w:r>
    </w:p>
    <w:p w:rsidR="00E36E2B" w:rsidRPr="00A20895" w:rsidRDefault="00E36E2B" w:rsidP="00E36E2B">
      <w:pPr>
        <w:jc w:val="both"/>
        <w:rPr>
          <w:rFonts w:ascii="Arial" w:hAnsi="Arial"/>
          <w:sz w:val="20"/>
          <w:szCs w:val="20"/>
        </w:rPr>
      </w:pPr>
      <w:r w:rsidRPr="00A20895">
        <w:rPr>
          <w:rFonts w:ascii="Arial" w:hAnsi="Arial"/>
          <w:sz w:val="20"/>
          <w:szCs w:val="20"/>
        </w:rPr>
        <w:t>Le politiche e le buone pratiche considerate sono le seguenti:</w:t>
      </w:r>
    </w:p>
    <w:p w:rsidR="00E36E2B" w:rsidRPr="00A20895" w:rsidRDefault="00E36E2B" w:rsidP="00E36E2B">
      <w:pPr>
        <w:numPr>
          <w:ilvl w:val="0"/>
          <w:numId w:val="2"/>
        </w:numPr>
        <w:jc w:val="both"/>
        <w:rPr>
          <w:rFonts w:ascii="Arial" w:hAnsi="Arial"/>
          <w:sz w:val="20"/>
          <w:szCs w:val="20"/>
        </w:rPr>
      </w:pPr>
      <w:r w:rsidRPr="00A20895">
        <w:rPr>
          <w:rFonts w:ascii="Arial" w:hAnsi="Arial"/>
          <w:sz w:val="20"/>
          <w:szCs w:val="20"/>
        </w:rPr>
        <w:t>presenza di autobus a chiamata;</w:t>
      </w:r>
    </w:p>
    <w:p w:rsidR="00E36E2B" w:rsidRPr="00A20895" w:rsidRDefault="00E36E2B" w:rsidP="00E36E2B">
      <w:pPr>
        <w:numPr>
          <w:ilvl w:val="0"/>
          <w:numId w:val="2"/>
        </w:numPr>
        <w:jc w:val="both"/>
        <w:rPr>
          <w:rFonts w:ascii="Arial" w:hAnsi="Arial"/>
          <w:sz w:val="20"/>
          <w:szCs w:val="20"/>
        </w:rPr>
      </w:pPr>
      <w:r w:rsidRPr="00A20895">
        <w:rPr>
          <w:rFonts w:ascii="Arial" w:hAnsi="Arial"/>
          <w:sz w:val="20"/>
          <w:szCs w:val="20"/>
        </w:rPr>
        <w:t>controlli dei varchi delle ZTL;</w:t>
      </w:r>
    </w:p>
    <w:p w:rsidR="00E36E2B" w:rsidRPr="00A20895" w:rsidRDefault="00E36E2B" w:rsidP="00E36E2B">
      <w:pPr>
        <w:numPr>
          <w:ilvl w:val="0"/>
          <w:numId w:val="2"/>
        </w:numPr>
        <w:jc w:val="both"/>
        <w:rPr>
          <w:rFonts w:ascii="Arial" w:hAnsi="Arial"/>
          <w:sz w:val="20"/>
          <w:szCs w:val="20"/>
        </w:rPr>
      </w:pPr>
      <w:r w:rsidRPr="00A20895">
        <w:rPr>
          <w:rFonts w:ascii="Arial" w:hAnsi="Arial"/>
          <w:sz w:val="20"/>
          <w:szCs w:val="20"/>
        </w:rPr>
        <w:t>mobility manager comunale;</w:t>
      </w:r>
    </w:p>
    <w:p w:rsidR="00E36E2B" w:rsidRPr="00A20895" w:rsidRDefault="00E36E2B" w:rsidP="00E36E2B">
      <w:pPr>
        <w:numPr>
          <w:ilvl w:val="0"/>
          <w:numId w:val="2"/>
        </w:numPr>
        <w:jc w:val="both"/>
        <w:rPr>
          <w:rFonts w:ascii="Arial" w:hAnsi="Arial"/>
          <w:sz w:val="20"/>
          <w:szCs w:val="20"/>
        </w:rPr>
      </w:pPr>
      <w:r w:rsidRPr="00A20895">
        <w:rPr>
          <w:rFonts w:ascii="Arial" w:hAnsi="Arial"/>
          <w:sz w:val="20"/>
          <w:szCs w:val="20"/>
        </w:rPr>
        <w:t xml:space="preserve">Piano spostamenti casa-lavoro; </w:t>
      </w:r>
    </w:p>
    <w:p w:rsidR="00E36E2B" w:rsidRPr="00A20895" w:rsidRDefault="00E36E2B" w:rsidP="00E36E2B">
      <w:pPr>
        <w:numPr>
          <w:ilvl w:val="0"/>
          <w:numId w:val="2"/>
        </w:numPr>
        <w:jc w:val="both"/>
        <w:rPr>
          <w:rFonts w:ascii="Arial" w:hAnsi="Arial"/>
          <w:sz w:val="20"/>
          <w:szCs w:val="20"/>
        </w:rPr>
      </w:pPr>
      <w:r w:rsidRPr="00A20895">
        <w:rPr>
          <w:rFonts w:ascii="Arial" w:hAnsi="Arial"/>
          <w:sz w:val="20"/>
          <w:szCs w:val="20"/>
        </w:rPr>
        <w:t>car-sharing;</w:t>
      </w:r>
    </w:p>
    <w:p w:rsidR="00E36E2B" w:rsidRPr="00A20895" w:rsidRDefault="00E36E2B" w:rsidP="00E36E2B">
      <w:pPr>
        <w:numPr>
          <w:ilvl w:val="0"/>
          <w:numId w:val="2"/>
        </w:numPr>
        <w:jc w:val="both"/>
        <w:rPr>
          <w:rFonts w:ascii="Arial" w:hAnsi="Arial"/>
          <w:sz w:val="20"/>
          <w:szCs w:val="20"/>
        </w:rPr>
      </w:pPr>
      <w:r w:rsidRPr="00A20895">
        <w:rPr>
          <w:rFonts w:ascii="Arial" w:hAnsi="Arial"/>
          <w:sz w:val="20"/>
          <w:szCs w:val="20"/>
        </w:rPr>
        <w:t>presenza di percorsi Bicibus/Pedibus.</w:t>
      </w:r>
    </w:p>
    <w:p w:rsidR="00E36E2B" w:rsidRPr="00A20895" w:rsidRDefault="00E36E2B" w:rsidP="00E36E2B">
      <w:pPr>
        <w:jc w:val="both"/>
        <w:rPr>
          <w:rFonts w:ascii="Arial" w:hAnsi="Arial"/>
          <w:sz w:val="20"/>
          <w:szCs w:val="20"/>
        </w:rPr>
      </w:pPr>
    </w:p>
    <w:p w:rsidR="00E36E2B" w:rsidRPr="00A20895" w:rsidRDefault="00E36E2B" w:rsidP="00E36E2B">
      <w:pPr>
        <w:jc w:val="both"/>
        <w:rPr>
          <w:rFonts w:ascii="Arial" w:hAnsi="Arial"/>
          <w:sz w:val="20"/>
          <w:szCs w:val="20"/>
        </w:rPr>
      </w:pPr>
      <w:r w:rsidRPr="00A20895">
        <w:rPr>
          <w:rFonts w:ascii="Arial" w:hAnsi="Arial"/>
          <w:sz w:val="20"/>
          <w:szCs w:val="20"/>
        </w:rPr>
        <w:t>Questo indice è da leggersi in stretta accoppiata con l’altro indice, quello sulla ciclabilità, che rappresneta un pilastro della mobilità alternativa.</w:t>
      </w:r>
    </w:p>
    <w:p w:rsidR="00E36E2B" w:rsidRPr="00A20895" w:rsidRDefault="00E36E2B" w:rsidP="00E36E2B">
      <w:pPr>
        <w:jc w:val="both"/>
        <w:rPr>
          <w:rFonts w:ascii="Arial" w:hAnsi="Arial"/>
          <w:sz w:val="20"/>
          <w:szCs w:val="20"/>
        </w:rPr>
      </w:pPr>
      <w:r w:rsidRPr="00A20895">
        <w:rPr>
          <w:rFonts w:ascii="Arial" w:hAnsi="Arial"/>
          <w:sz w:val="20"/>
          <w:szCs w:val="20"/>
        </w:rPr>
        <w:t xml:space="preserve">In funzione della presenza o assenza dei parametri considerati (e ai pesi a loro attribuiti) ad ogni capoluogo viene assegnato un punteggio normalizzato, variabile da </w:t>
      </w:r>
      <w:smartTag w:uri="urn:schemas-microsoft-com:office:smarttags" w:element="metricconverter">
        <w:smartTagPr>
          <w:attr w:name="ProductID" w:val="0 a"/>
        </w:smartTagPr>
        <w:r w:rsidRPr="00A20895">
          <w:rPr>
            <w:rFonts w:ascii="Arial" w:hAnsi="Arial"/>
            <w:sz w:val="20"/>
            <w:szCs w:val="20"/>
          </w:rPr>
          <w:t>0 a</w:t>
        </w:r>
      </w:smartTag>
      <w:r w:rsidRPr="00A20895">
        <w:rPr>
          <w:rFonts w:ascii="Arial" w:hAnsi="Arial"/>
          <w:sz w:val="20"/>
          <w:szCs w:val="20"/>
        </w:rPr>
        <w:t xml:space="preserve"> 100. Come effettuato per l’edizione passata, per il car-sharing non ci si è limitati a considerare solo l’attivazione del servizio, ma si è cercato di misurarne anche l’efficacia, attraverso il dato del numero di abbonati (in rapporto al numero di residenti).</w:t>
      </w:r>
    </w:p>
    <w:p w:rsidR="00E36E2B" w:rsidRPr="00A20895" w:rsidRDefault="00E36E2B" w:rsidP="00E36E2B">
      <w:pPr>
        <w:jc w:val="both"/>
        <w:rPr>
          <w:rFonts w:ascii="Arial" w:hAnsi="Arial"/>
          <w:sz w:val="20"/>
          <w:szCs w:val="20"/>
        </w:rPr>
      </w:pPr>
      <w:r w:rsidRPr="00A20895">
        <w:rPr>
          <w:rFonts w:ascii="Arial" w:hAnsi="Arial"/>
          <w:sz w:val="20"/>
          <w:szCs w:val="20"/>
        </w:rPr>
        <w:t xml:space="preserve">Tra le grandi città spicca Milano con il maggior punteggio (93), poiché ha predisposto tutte la misure di valorizzazione della mobilità sostenibile previste dall’indice; tra gli altri comuni di grandi dimensioni Genova, Padova, Bologna e Venezia hanno ottenuto un punteggio superiore a 80. Trieste, al contrario, avendo </w:t>
      </w:r>
      <w:r w:rsidRPr="00A20895">
        <w:rPr>
          <w:rFonts w:ascii="Arial" w:hAnsi="Arial"/>
          <w:sz w:val="20"/>
          <w:szCs w:val="20"/>
        </w:rPr>
        <w:lastRenderedPageBreak/>
        <w:t>avviato solo una delle iniziative considerate, si pone in penultima  posizione con un punteggio di 6,67; ultima è Messina ferma a 0.</w:t>
      </w:r>
    </w:p>
    <w:p w:rsidR="00E36E2B" w:rsidRPr="00A20895" w:rsidRDefault="00E36E2B" w:rsidP="00E36E2B">
      <w:pPr>
        <w:jc w:val="both"/>
        <w:rPr>
          <w:rFonts w:ascii="Arial" w:hAnsi="Arial"/>
          <w:sz w:val="20"/>
          <w:szCs w:val="20"/>
        </w:rPr>
      </w:pPr>
      <w:r w:rsidRPr="00A20895">
        <w:rPr>
          <w:rFonts w:ascii="Arial" w:hAnsi="Arial"/>
          <w:sz w:val="20"/>
          <w:szCs w:val="20"/>
        </w:rPr>
        <w:t>Per quanto riguarda le città medie quest’anno le migliori sono Reggio Emilia e Parma (con un punteggio rispettivamente di 85 e 81) e, a seguire, Brescia, Ravenna (entrambe con 67), Ferrara e Terni (entrambe con 60).</w:t>
      </w:r>
    </w:p>
    <w:p w:rsidR="00E36E2B" w:rsidRPr="00A20895" w:rsidRDefault="00E36E2B" w:rsidP="00E36E2B">
      <w:pPr>
        <w:jc w:val="both"/>
        <w:rPr>
          <w:rFonts w:ascii="Arial" w:hAnsi="Arial"/>
          <w:sz w:val="20"/>
          <w:szCs w:val="20"/>
        </w:rPr>
      </w:pPr>
      <w:r w:rsidRPr="00A20895">
        <w:rPr>
          <w:rFonts w:ascii="Arial" w:hAnsi="Arial"/>
          <w:sz w:val="20"/>
          <w:szCs w:val="20"/>
        </w:rPr>
        <w:t>Osservando la parte inferiore della classifica, invece, si trovano 17 capoluoghi con un punteggio inferiore a 30 e, tra questi, quattro (Brindisi, Pescara, Siracusa e Taranto) sono le amministrazioni che non hanno implementato nessuna delle misure previste dall’indice. Va evidenziato un piccolo incremento per Sassari, Varese e Catanzaro che, rispetto al 2011, implementano quest’anno alcune delle politiche e delle buone pratiche prese in considerazione per il calcolo dell’indice.</w:t>
      </w:r>
    </w:p>
    <w:p w:rsidR="00E36E2B" w:rsidRPr="00A20895" w:rsidRDefault="00E36E2B" w:rsidP="00E36E2B">
      <w:pPr>
        <w:jc w:val="both"/>
        <w:rPr>
          <w:rFonts w:ascii="Arial" w:hAnsi="Arial"/>
          <w:sz w:val="20"/>
          <w:szCs w:val="20"/>
        </w:rPr>
      </w:pPr>
      <w:r w:rsidRPr="00A20895">
        <w:rPr>
          <w:rFonts w:ascii="Arial" w:hAnsi="Arial"/>
          <w:sz w:val="20"/>
          <w:szCs w:val="20"/>
        </w:rPr>
        <w:t>In generale le città di piccole dimensioni trovano maggiori difficoltà nell’attivare questo tipo di politiche e la classifica sembra confermare questa tendenza: infatti solo sette comuni (uno in più rispetto alla passata edizione) hanno ottenuto un punteggio superiore a 50 (Savona, Pavia, Lodi, Vercelli, Aosta, Cuneo e Cremona) e all’opposto 16 città non hanno ancora predisposto tali misure o non hanno fornito dati in merito.</w:t>
      </w:r>
    </w:p>
    <w:p w:rsidR="00E36E2B" w:rsidRPr="00A20895" w:rsidRDefault="00E36E2B" w:rsidP="00E36E2B">
      <w:pPr>
        <w:jc w:val="both"/>
        <w:rPr>
          <w:rFonts w:ascii="Arial" w:hAnsi="Arial"/>
          <w:sz w:val="20"/>
          <w:szCs w:val="20"/>
        </w:rPr>
      </w:pPr>
      <w:r w:rsidRPr="00A20895">
        <w:rPr>
          <w:rFonts w:ascii="Arial" w:hAnsi="Arial"/>
          <w:sz w:val="20"/>
          <w:szCs w:val="20"/>
        </w:rPr>
        <w:t>Attraverso l’osservazione della collocazione geografica delle città con il punteggio più alto è possibile notare come tali “buone pratiche” siano decisamente più diffuse nelle regioni settentrionali (e in particolare in Emilia Romagna e Lombardia) rispetto al resto del Paese.</w:t>
      </w:r>
    </w:p>
    <w:p w:rsidR="00E36E2B" w:rsidRPr="00A20895" w:rsidRDefault="00E36E2B" w:rsidP="00E36E2B">
      <w:pPr>
        <w:jc w:val="both"/>
        <w:rPr>
          <w:rFonts w:ascii="Arial" w:hAnsi="Arial"/>
          <w:sz w:val="20"/>
          <w:szCs w:val="20"/>
        </w:rPr>
      </w:pPr>
      <w:r w:rsidRPr="00A20895">
        <w:rPr>
          <w:rFonts w:ascii="Arial" w:hAnsi="Arial"/>
          <w:sz w:val="20"/>
          <w:szCs w:val="20"/>
        </w:rPr>
        <w:t>Guardando ai diversi parametri considerati, il mobility manager è stato attivato in 38 comuni, mentre 20 possiedono un sistema di car-sharing, due in più rispetto lo scorso anno, in 57 ci sono controlli ai varchi delle ZTL, 24 dispongono del servizio di bus a chiamata e 30 hanno approvato un Piano spostamenti casa-lavoro.</w:t>
      </w:r>
    </w:p>
    <w:p w:rsidR="00E36E2B" w:rsidRPr="00A20895" w:rsidRDefault="00E36E2B" w:rsidP="00E36E2B">
      <w:pPr>
        <w:jc w:val="both"/>
        <w:rPr>
          <w:rFonts w:ascii="Arial" w:hAnsi="Arial"/>
          <w:sz w:val="20"/>
          <w:szCs w:val="20"/>
        </w:rPr>
      </w:pPr>
      <w:r w:rsidRPr="00A20895">
        <w:rPr>
          <w:rFonts w:ascii="Arial" w:hAnsi="Arial"/>
          <w:sz w:val="20"/>
          <w:szCs w:val="20"/>
        </w:rPr>
        <w:t>Il car-sharing, come era presumibile aspettarci, è un servizio principalmente diffuso nelle grandi città (9 città su 15 lo hanno attivato sul proprio territorio comunale) e che va incontro ad un generale aumento del numero di utenti: in particolare si possono segnalare al primo posto Milano in continuo aumento con 5.541 abbonati, seguita da Venezia con 3.770, Torino 2.800, Roma con 2.674 e Genova con 2.621. Tra i capoluoghi di medie dimensioni, invece, va ricordata Varese con 873 abbonati.</w:t>
      </w:r>
    </w:p>
    <w:p w:rsidR="00E36E2B" w:rsidRPr="00A20895" w:rsidRDefault="00E36E2B" w:rsidP="00E36E2B">
      <w:pPr>
        <w:jc w:val="both"/>
        <w:rPr>
          <w:rFonts w:ascii="Arial" w:hAnsi="Arial"/>
          <w:sz w:val="20"/>
          <w:szCs w:val="20"/>
        </w:rPr>
      </w:pPr>
      <w:r w:rsidRPr="00A20895">
        <w:rPr>
          <w:rFonts w:ascii="Arial" w:hAnsi="Arial"/>
          <w:sz w:val="20"/>
          <w:szCs w:val="20"/>
        </w:rPr>
        <w:t>Come per la precedente edizione, si considera quest’anno il parametro relativo a pedibus/bicibus, ovvero un esempio di mobilità sostenibile, con fermate predefinite e dotata di accompagnatori, dedicata agli scolari per raggiungere le scuole. Le città che si sono dotate di questo tipo di servizio dedicato ai più piccoli sono ben 36, segno che questa pratica, nata nel Nord Europa, si sta rapidamente diffondendo anche nel nostro Paese.</w:t>
      </w:r>
    </w:p>
    <w:p w:rsidR="00E36E2B" w:rsidRPr="00A20895" w:rsidRDefault="00E36E2B" w:rsidP="00E36E2B">
      <w:pPr>
        <w:ind w:left="360"/>
        <w:jc w:val="both"/>
        <w:rPr>
          <w:rFonts w:ascii="Arial" w:hAnsi="Arial"/>
          <w:b/>
        </w:rPr>
      </w:pPr>
    </w:p>
    <w:p w:rsidR="00E36E2B" w:rsidRPr="00A20895" w:rsidRDefault="00E36E2B" w:rsidP="00E36E2B">
      <w:pPr>
        <w:ind w:left="360"/>
        <w:jc w:val="both"/>
        <w:rPr>
          <w:rFonts w:ascii="Arial" w:hAnsi="Arial"/>
          <w:b/>
        </w:rPr>
      </w:pPr>
    </w:p>
    <w:p w:rsidR="00E36E2B" w:rsidRPr="00A20895" w:rsidRDefault="00E36E2B" w:rsidP="00E36E2B">
      <w:pPr>
        <w:numPr>
          <w:ilvl w:val="0"/>
          <w:numId w:val="22"/>
        </w:numPr>
        <w:jc w:val="both"/>
        <w:rPr>
          <w:rFonts w:ascii="Arial" w:hAnsi="Arial"/>
          <w:b/>
        </w:rPr>
      </w:pPr>
      <w:r w:rsidRPr="00A20895">
        <w:rPr>
          <w:rFonts w:ascii="Arial" w:hAnsi="Arial"/>
          <w:b/>
        </w:rPr>
        <w:t>Tasso di motorizzazione auto</w:t>
      </w:r>
    </w:p>
    <w:p w:rsidR="00E36E2B" w:rsidRPr="00A20895" w:rsidRDefault="00E36E2B" w:rsidP="00E36E2B">
      <w:pPr>
        <w:jc w:val="both"/>
        <w:rPr>
          <w:rFonts w:ascii="Arial" w:hAnsi="Arial"/>
          <w:sz w:val="20"/>
          <w:szCs w:val="20"/>
        </w:rPr>
      </w:pPr>
      <w:r w:rsidRPr="00A20895">
        <w:rPr>
          <w:rFonts w:ascii="Arial" w:hAnsi="Arial"/>
          <w:i/>
        </w:rPr>
        <w:t>(Auto circolanti ogni 100 abitanti (auto/100 ab); fonte: ISTAT, Indicatori ambientali urbani 2012)</w:t>
      </w:r>
    </w:p>
    <w:p w:rsidR="00E36E2B" w:rsidRPr="00A20895" w:rsidRDefault="00E36E2B" w:rsidP="00E36E2B">
      <w:pPr>
        <w:jc w:val="both"/>
        <w:rPr>
          <w:rFonts w:ascii="Arial" w:hAnsi="Arial"/>
          <w:sz w:val="20"/>
          <w:szCs w:val="20"/>
        </w:rPr>
      </w:pPr>
      <w:r w:rsidRPr="00A20895">
        <w:rPr>
          <w:rFonts w:ascii="Arial" w:hAnsi="Arial"/>
          <w:sz w:val="20"/>
          <w:szCs w:val="20"/>
        </w:rPr>
        <w:t>La conoscenza del tasso di motorizzazione rispetto alle auto è un indicatore di grande aiuto per descrivere la qualità della vita negli ambienti urbani. La densità automobilistica, infatti, costituisce senza alcun dubbio uno degli elementi maggiormente problematici per le città e distingue sfavorevolmente l’Italia nel panorama mondiale: rispetto ad alcune grandi capitali europee (Londra, Parigi e Berlino) che registrano valori molto bassi (circa 32 auto/100 ab), il tasso medio di motorizzazione dei 107 comuni capoluogo italiani si mantiene molto più alto e risulta in crescita, con 64,4 auto ogni 100 abitanti.</w:t>
      </w:r>
    </w:p>
    <w:p w:rsidR="00E36E2B" w:rsidRPr="00A20895" w:rsidRDefault="00E36E2B" w:rsidP="00E36E2B">
      <w:pPr>
        <w:jc w:val="both"/>
        <w:rPr>
          <w:rFonts w:ascii="Arial" w:hAnsi="Arial"/>
          <w:sz w:val="20"/>
          <w:szCs w:val="20"/>
        </w:rPr>
      </w:pPr>
      <w:r w:rsidRPr="00A20895">
        <w:rPr>
          <w:rFonts w:ascii="Arial" w:hAnsi="Arial"/>
          <w:sz w:val="20"/>
          <w:szCs w:val="20"/>
        </w:rPr>
        <w:t xml:space="preserve">Oltre al caso particolare di Venezia (che conta 41,1 auto ogni 100 ab), solo Genova e </w:t>
      </w:r>
      <w:smartTag w:uri="urn:schemas-microsoft-com:office:smarttags" w:element="PersonName">
        <w:smartTagPr>
          <w:attr w:name="ProductID" w:val="La Spezia"/>
        </w:smartTagPr>
        <w:r w:rsidRPr="00A20895">
          <w:rPr>
            <w:rFonts w:ascii="Arial" w:hAnsi="Arial"/>
            <w:sz w:val="20"/>
            <w:szCs w:val="20"/>
          </w:rPr>
          <w:t>La Spezia</w:t>
        </w:r>
      </w:smartTag>
      <w:r w:rsidRPr="00A20895">
        <w:rPr>
          <w:rFonts w:ascii="Arial" w:hAnsi="Arial"/>
          <w:sz w:val="20"/>
          <w:szCs w:val="20"/>
        </w:rPr>
        <w:t xml:space="preserve"> registrano un tasso inferiore a 50 auto per 100 abitanti: ciò può essere spiegato col fatto che le città liguri hanno una maggiore predisposizione al trasporto su due ruote. Dodici città (Catania, Latina, Bolzano, Trento, Isernia, Nuoro, Vibo Valentia, Potenza, Frosinone, L’Aquila, Viterbo e Aosta) registrano un tasso di motorizzazione superiore a 70 auto/100 ab e altre 51 superano la soglia delle 60 auto ogni 100 abitanti, 20 città in più rispetto al 2011.</w:t>
      </w:r>
    </w:p>
    <w:p w:rsidR="00E36E2B" w:rsidRPr="00A20895" w:rsidRDefault="00E36E2B" w:rsidP="00E36E2B">
      <w:pPr>
        <w:jc w:val="both"/>
        <w:rPr>
          <w:rFonts w:ascii="Arial" w:hAnsi="Arial"/>
          <w:sz w:val="20"/>
          <w:szCs w:val="20"/>
        </w:rPr>
      </w:pPr>
      <w:r w:rsidRPr="00A20895">
        <w:rPr>
          <w:rFonts w:ascii="Arial" w:hAnsi="Arial"/>
          <w:sz w:val="20"/>
          <w:szCs w:val="20"/>
        </w:rPr>
        <w:t>Dall’osservazione dei dati è possibile notare come, in generale, il tasso di motorizzazione sia inversamente proporzionale all’offerta di trasporto pubblico, poiché, ad esempio, esso è più basso nelle grandi città (dove l’offerta di mobilità pubblica è tendenzialmente maggiore) rispetto alle città di medie e piccole dimensioni: i valori medi registrati sono rispettivamente di 56 auto/100 ab, 63 auto/100 ab e 68 auto/100 ab.</w:t>
      </w:r>
    </w:p>
    <w:p w:rsidR="00E36E2B" w:rsidRPr="00A20895" w:rsidRDefault="00E36E2B" w:rsidP="00E36E2B">
      <w:pPr>
        <w:jc w:val="both"/>
        <w:rPr>
          <w:rFonts w:ascii="Arial" w:hAnsi="Arial"/>
          <w:sz w:val="20"/>
          <w:szCs w:val="20"/>
        </w:rPr>
      </w:pPr>
      <w:r w:rsidRPr="00A20895">
        <w:rPr>
          <w:rFonts w:ascii="Arial" w:hAnsi="Arial"/>
          <w:sz w:val="20"/>
          <w:szCs w:val="20"/>
        </w:rPr>
        <w:t>Secondo ISTAT il dato storicamente atipico di Aosta (245,5 auto/100 ab) è influenzato dalla minore tassazione sull’iscrizione delle nuove autovetture, anche se ad Aosta si registrano comunque elevati consumi di carburante. Quest’anno una situazione analoga a quella di Aosta è presente per la prima anche a Bolzano e Trento che infati fanno registrare valori molto più alti.</w:t>
      </w:r>
    </w:p>
    <w:p w:rsidR="00E36E2B" w:rsidRPr="00A20895" w:rsidRDefault="00E36E2B" w:rsidP="00E36E2B">
      <w:pPr>
        <w:jc w:val="both"/>
        <w:rPr>
          <w:rFonts w:ascii="Arial" w:hAnsi="Arial"/>
          <w:sz w:val="20"/>
          <w:szCs w:val="20"/>
        </w:rPr>
      </w:pPr>
    </w:p>
    <w:p w:rsidR="00E36E2B" w:rsidRPr="00A20895" w:rsidRDefault="00E36E2B" w:rsidP="00E36E2B">
      <w:pPr>
        <w:jc w:val="both"/>
        <w:rPr>
          <w:sz w:val="20"/>
          <w:szCs w:val="20"/>
        </w:rPr>
      </w:pPr>
      <w:r w:rsidRPr="00A20895">
        <w:rPr>
          <w:sz w:val="20"/>
          <w:szCs w:val="20"/>
        </w:rPr>
        <w:t xml:space="preserve">              </w:t>
      </w:r>
    </w:p>
    <w:p w:rsidR="00E36E2B" w:rsidRPr="00A20895" w:rsidRDefault="00E36E2B" w:rsidP="00E36E2B">
      <w:pPr>
        <w:numPr>
          <w:ilvl w:val="0"/>
          <w:numId w:val="22"/>
        </w:numPr>
        <w:jc w:val="both"/>
        <w:rPr>
          <w:rFonts w:ascii="Arial" w:hAnsi="Arial"/>
          <w:b/>
        </w:rPr>
      </w:pPr>
      <w:r w:rsidRPr="00A20895">
        <w:rPr>
          <w:rFonts w:ascii="Arial" w:hAnsi="Arial"/>
          <w:b/>
        </w:rPr>
        <w:t>Tasso di motorizzazione motocicli</w:t>
      </w:r>
    </w:p>
    <w:p w:rsidR="00E36E2B" w:rsidRPr="00A20895" w:rsidRDefault="00E36E2B" w:rsidP="00E36E2B">
      <w:pPr>
        <w:jc w:val="both"/>
        <w:rPr>
          <w:rFonts w:ascii="Arial" w:hAnsi="Arial"/>
          <w:i/>
        </w:rPr>
      </w:pPr>
      <w:r w:rsidRPr="00A20895">
        <w:rPr>
          <w:rFonts w:ascii="Arial" w:hAnsi="Arial"/>
          <w:i/>
        </w:rPr>
        <w:t>(Motocicli circolanti ogni 100 abitanti (motocicli/100 ab); fonte: ISTAT, Indicatori ambientali urbani 2012)</w:t>
      </w:r>
    </w:p>
    <w:p w:rsidR="00E36E2B" w:rsidRPr="00A20895" w:rsidRDefault="00E36E2B" w:rsidP="00E36E2B">
      <w:pPr>
        <w:jc w:val="both"/>
        <w:rPr>
          <w:rFonts w:ascii="Arial" w:hAnsi="Arial"/>
          <w:i/>
          <w:sz w:val="10"/>
          <w:szCs w:val="10"/>
        </w:rPr>
      </w:pPr>
    </w:p>
    <w:p w:rsidR="00E36E2B" w:rsidRPr="00A20895" w:rsidRDefault="00E36E2B" w:rsidP="00E36E2B">
      <w:pPr>
        <w:jc w:val="both"/>
        <w:rPr>
          <w:rFonts w:ascii="Arial" w:hAnsi="Arial"/>
          <w:sz w:val="20"/>
          <w:szCs w:val="20"/>
        </w:rPr>
      </w:pPr>
      <w:r w:rsidRPr="00A20895">
        <w:rPr>
          <w:rFonts w:ascii="Arial" w:hAnsi="Arial"/>
          <w:sz w:val="20"/>
          <w:szCs w:val="20"/>
        </w:rPr>
        <w:lastRenderedPageBreak/>
        <w:t xml:space="preserve">Il tasso di motorizzazione relativo ai motocicli, pur rappresentando una soluzione alla congestione del traffico, costituisce comunque una pressione sulla qualità ambientale delle città italiane. </w:t>
      </w:r>
    </w:p>
    <w:p w:rsidR="00E36E2B" w:rsidRPr="00A20895" w:rsidRDefault="00E36E2B" w:rsidP="00E36E2B">
      <w:pPr>
        <w:jc w:val="both"/>
        <w:rPr>
          <w:rFonts w:ascii="Arial" w:hAnsi="Arial"/>
          <w:sz w:val="20"/>
          <w:szCs w:val="20"/>
        </w:rPr>
      </w:pPr>
      <w:r w:rsidRPr="00A20895">
        <w:rPr>
          <w:rFonts w:ascii="Arial" w:hAnsi="Arial"/>
          <w:sz w:val="20"/>
          <w:szCs w:val="20"/>
        </w:rPr>
        <w:t>Osservando i dati relativi ai comuni di grandi dimensioni si può notare come Genova registri il numero più alto, con 23 moto ogni 100 abitanti, ma anche fra le medie e piccole città sì distinguono i capoluoghi liguri (Imperia a 26 e Savona a 24) che come anticipato nell’indicatore precedente, sono maggiormente caratterizzati da una motorizzazione su due ruote.</w:t>
      </w:r>
    </w:p>
    <w:p w:rsidR="00E36E2B" w:rsidRPr="00A20895" w:rsidRDefault="00E36E2B" w:rsidP="00E36E2B">
      <w:pPr>
        <w:jc w:val="both"/>
        <w:rPr>
          <w:rFonts w:ascii="Arial" w:hAnsi="Arial"/>
          <w:sz w:val="20"/>
          <w:szCs w:val="20"/>
        </w:rPr>
      </w:pPr>
      <w:r w:rsidRPr="00A20895">
        <w:rPr>
          <w:rFonts w:ascii="Arial" w:hAnsi="Arial"/>
          <w:sz w:val="20"/>
          <w:szCs w:val="20"/>
        </w:rPr>
        <w:t>Valori al di sopra dei 20 motocicli/100 ab, oltre alle città già citate, sono raggiunti solamente da Livorno (25) Pesaro (24), Catania (22), Rimini e Siena (a quota 21). Molti capoluoghi, all’opposto, non raggiungono la soglia dei 10 motocicli/100 ab, tra questi, in particolare, si contano 19 città piccole, 13 medie e 2 grandi città. Foggia presenta il valore più basso rappresentato, con poco più di 5 motocicli/100 ab.</w:t>
      </w:r>
    </w:p>
    <w:p w:rsidR="00E36E2B" w:rsidRPr="00A20895" w:rsidRDefault="00E36E2B" w:rsidP="00E36E2B">
      <w:pPr>
        <w:jc w:val="both"/>
        <w:rPr>
          <w:rFonts w:ascii="Arial" w:hAnsi="Arial"/>
          <w:sz w:val="20"/>
          <w:szCs w:val="20"/>
        </w:rPr>
      </w:pPr>
      <w:r w:rsidRPr="00A20895">
        <w:rPr>
          <w:rFonts w:ascii="Arial" w:hAnsi="Arial"/>
          <w:sz w:val="20"/>
          <w:szCs w:val="20"/>
        </w:rPr>
        <w:t>I motocicli, contrariamente a quanto accade per le auto, risultano maggiormente presenti nelle grandi città, dove se ne registrano 15 ogni 100 abitanti, contro i 12 delle medie e gli 11 delle piccole città.</w:t>
      </w:r>
    </w:p>
    <w:p w:rsidR="00E36E2B" w:rsidRPr="00A20895" w:rsidRDefault="00E36E2B" w:rsidP="00E36E2B">
      <w:pPr>
        <w:jc w:val="both"/>
        <w:rPr>
          <w:rFonts w:ascii="Arial" w:hAnsi="Arial"/>
          <w:sz w:val="20"/>
          <w:szCs w:val="20"/>
        </w:rPr>
      </w:pPr>
    </w:p>
    <w:p w:rsidR="00E36E2B" w:rsidRPr="00A20895" w:rsidRDefault="00E36E2B" w:rsidP="00E36E2B">
      <w:pPr>
        <w:jc w:val="both"/>
        <w:rPr>
          <w:rFonts w:ascii="Arial" w:hAnsi="Arial"/>
          <w:sz w:val="20"/>
          <w:szCs w:val="20"/>
        </w:rPr>
      </w:pPr>
    </w:p>
    <w:p w:rsidR="00E36E2B" w:rsidRPr="00A20895" w:rsidRDefault="00E36E2B" w:rsidP="00E36E2B">
      <w:pPr>
        <w:numPr>
          <w:ilvl w:val="0"/>
          <w:numId w:val="22"/>
        </w:numPr>
        <w:jc w:val="both"/>
        <w:rPr>
          <w:rFonts w:ascii="Arial" w:hAnsi="Arial"/>
          <w:b/>
        </w:rPr>
      </w:pPr>
      <w:r w:rsidRPr="00A20895">
        <w:rPr>
          <w:rFonts w:ascii="Arial" w:hAnsi="Arial"/>
          <w:b/>
        </w:rPr>
        <w:t>Morti in incidenti stradali ogni 10.000 abitanti</w:t>
      </w:r>
    </w:p>
    <w:p w:rsidR="00E36E2B" w:rsidRPr="00A20895" w:rsidRDefault="00E36E2B" w:rsidP="00E36E2B">
      <w:pPr>
        <w:jc w:val="both"/>
        <w:rPr>
          <w:rFonts w:ascii="Arial" w:hAnsi="Arial"/>
          <w:i/>
        </w:rPr>
      </w:pPr>
      <w:r w:rsidRPr="00A20895">
        <w:rPr>
          <w:rFonts w:ascii="Arial" w:hAnsi="Arial"/>
          <w:i/>
        </w:rPr>
        <w:t>(Numero di morti in incidenti stradali ogni 10.000 abitanti (morti/10.000 ab); fonte: ISTAT, Indicatori incidenti stradali 2011)</w:t>
      </w:r>
    </w:p>
    <w:p w:rsidR="00E36E2B" w:rsidRPr="00A20895" w:rsidRDefault="00E36E2B" w:rsidP="00E36E2B">
      <w:pPr>
        <w:jc w:val="both"/>
        <w:rPr>
          <w:rFonts w:ascii="Arial" w:hAnsi="Arial"/>
          <w:i/>
          <w:sz w:val="10"/>
          <w:szCs w:val="10"/>
        </w:rPr>
      </w:pPr>
    </w:p>
    <w:p w:rsidR="00E36E2B" w:rsidRPr="00A20895" w:rsidRDefault="00E36E2B" w:rsidP="00E36E2B">
      <w:pPr>
        <w:jc w:val="both"/>
        <w:rPr>
          <w:rFonts w:ascii="Arial" w:hAnsi="Arial"/>
          <w:sz w:val="20"/>
          <w:szCs w:val="20"/>
        </w:rPr>
      </w:pPr>
      <w:r w:rsidRPr="00A20895">
        <w:rPr>
          <w:rFonts w:ascii="Arial" w:hAnsi="Arial"/>
          <w:sz w:val="20"/>
          <w:szCs w:val="20"/>
        </w:rPr>
        <w:t>Per questa ventesima edizione di Ecosistema Urbano è stato introdotto un nuovo indice che misura il tasso di mortalità per incidenti stradali ogni 10.000 abitanti.</w:t>
      </w:r>
    </w:p>
    <w:p w:rsidR="00E36E2B" w:rsidRPr="00A20895" w:rsidRDefault="00E36E2B" w:rsidP="00E36E2B">
      <w:pPr>
        <w:jc w:val="both"/>
        <w:rPr>
          <w:rFonts w:ascii="Arial" w:hAnsi="Arial"/>
          <w:sz w:val="20"/>
          <w:szCs w:val="20"/>
        </w:rPr>
      </w:pPr>
      <w:r w:rsidRPr="00A20895">
        <w:rPr>
          <w:rFonts w:ascii="Arial" w:hAnsi="Arial"/>
          <w:sz w:val="20"/>
          <w:szCs w:val="20"/>
        </w:rPr>
        <w:t xml:space="preserve">Da questo indice si evince che in quattro capoluoghi italiani, tutte città di piccole dimensioni, nel corso dell’anno 2011 non vi sono stati incidenti mortali. Queste città sono Campobasso, Isernia, Mantova, Savona e Vibo Valentia. Tra le medie i migliori risultati si trovano a Pistoia e Treviso con un indice di poco superiore allo 0,1, mentre, per quanto riguarda i capoluoghi di grandi dimensioni, Trieste risulta essere la città con l’indice di morti per incidenti stradali più basso (0,2). All’estremo opposto troviamo, ben otto città di piccole dimensioni che superano il valore di 1 morto ogni 10.000 abitanti (Massa, Rieti, Cuneo, Vercelli, Caltanissetta, Crotone, Frosinone e Rovigo), cinque città tra le medie (Latina, Ravenna, Forlì, Foggia e Pesaro), mentre non troviamo nessun capoluogo di gradi dimensioni che superi tale valore. </w:t>
      </w:r>
    </w:p>
    <w:p w:rsidR="00E36E2B" w:rsidRPr="00A20895" w:rsidRDefault="00E36E2B" w:rsidP="00E36E2B">
      <w:pPr>
        <w:jc w:val="both"/>
        <w:rPr>
          <w:rFonts w:ascii="Arial" w:hAnsi="Arial"/>
          <w:sz w:val="20"/>
          <w:szCs w:val="20"/>
        </w:rPr>
      </w:pPr>
      <w:r w:rsidRPr="00A20895">
        <w:rPr>
          <w:rFonts w:ascii="Arial" w:hAnsi="Arial"/>
          <w:sz w:val="20"/>
          <w:szCs w:val="20"/>
        </w:rPr>
        <w:t>Riferendoci invece ai numeri assoluti, nei 104 capoluoghi di provincia si sono verificati quasi 100.000 incidenti che hanno causato 991 morti. Naturalmente Roma (con 186 morti), Milano (53) e Napoli (43) sono le città che registrano il numero maggiore di morti per incidente stradale.</w:t>
      </w:r>
    </w:p>
    <w:p w:rsidR="00E36E2B" w:rsidRPr="00A20895" w:rsidRDefault="00E36E2B" w:rsidP="00E36E2B">
      <w:pPr>
        <w:jc w:val="both"/>
        <w:rPr>
          <w:rFonts w:ascii="Arial" w:hAnsi="Arial"/>
          <w:sz w:val="20"/>
          <w:szCs w:val="20"/>
        </w:rPr>
      </w:pPr>
    </w:p>
    <w:p w:rsidR="00E36E2B" w:rsidRPr="00A20895" w:rsidRDefault="00E36E2B" w:rsidP="00E36E2B">
      <w:pPr>
        <w:jc w:val="both"/>
        <w:rPr>
          <w:rFonts w:ascii="Arial" w:hAnsi="Arial"/>
          <w:sz w:val="20"/>
          <w:szCs w:val="20"/>
        </w:rPr>
      </w:pPr>
    </w:p>
    <w:p w:rsidR="00E36E2B" w:rsidRPr="00A20895" w:rsidRDefault="00E36E2B" w:rsidP="00E36E2B">
      <w:pPr>
        <w:numPr>
          <w:ilvl w:val="0"/>
          <w:numId w:val="22"/>
        </w:numPr>
        <w:jc w:val="both"/>
        <w:rPr>
          <w:rFonts w:ascii="Arial" w:hAnsi="Arial"/>
          <w:b/>
        </w:rPr>
      </w:pPr>
      <w:r w:rsidRPr="00A20895">
        <w:rPr>
          <w:rFonts w:ascii="Arial" w:hAnsi="Arial"/>
          <w:b/>
        </w:rPr>
        <w:t>Isole pedonali</w:t>
      </w:r>
    </w:p>
    <w:p w:rsidR="00E36E2B" w:rsidRPr="00A20895" w:rsidRDefault="00E36E2B" w:rsidP="00E36E2B">
      <w:pPr>
        <w:jc w:val="both"/>
        <w:rPr>
          <w:rFonts w:ascii="Arial" w:hAnsi="Arial"/>
          <w:i/>
        </w:rPr>
      </w:pPr>
      <w:r w:rsidRPr="00A20895">
        <w:rPr>
          <w:rFonts w:ascii="Arial" w:hAnsi="Arial"/>
          <w:i/>
        </w:rPr>
        <w:t>(Estensione pro capite della superficie stradale pedonalizzata (mq/ab); fonte: censimento Ecosistema Urbano XX)</w:t>
      </w:r>
    </w:p>
    <w:p w:rsidR="00E36E2B" w:rsidRPr="00A20895" w:rsidRDefault="00E36E2B" w:rsidP="00E36E2B">
      <w:pPr>
        <w:jc w:val="both"/>
        <w:rPr>
          <w:rFonts w:ascii="Arial" w:hAnsi="Arial"/>
          <w:sz w:val="10"/>
          <w:szCs w:val="10"/>
        </w:rPr>
      </w:pPr>
    </w:p>
    <w:p w:rsidR="00E36E2B" w:rsidRPr="00A20895" w:rsidRDefault="00E36E2B" w:rsidP="00E36E2B">
      <w:pPr>
        <w:jc w:val="both"/>
        <w:rPr>
          <w:rFonts w:ascii="Arial" w:hAnsi="Arial" w:cs="Arial"/>
          <w:sz w:val="20"/>
          <w:szCs w:val="20"/>
        </w:rPr>
      </w:pPr>
      <w:r w:rsidRPr="00A20895">
        <w:rPr>
          <w:rFonts w:ascii="Arial" w:hAnsi="Arial"/>
          <w:sz w:val="20"/>
          <w:szCs w:val="20"/>
        </w:rPr>
        <w:t xml:space="preserve">Anche in questa XX edizione l’estensione media delle isole pedonali presenti nei comuni italiani rimane invariata rispetto a quella degli </w:t>
      </w:r>
      <w:r w:rsidRPr="00876001">
        <w:rPr>
          <w:rFonts w:ascii="Arial" w:hAnsi="Arial"/>
          <w:sz w:val="20"/>
          <w:szCs w:val="20"/>
          <w:highlight w:val="yellow"/>
        </w:rPr>
        <w:t xml:space="preserve">scorsi anni attestandosi a </w:t>
      </w:r>
      <w:smartTag w:uri="urn:schemas-microsoft-com:office:smarttags" w:element="metricconverter">
        <w:smartTagPr>
          <w:attr w:name="ProductID" w:val="0,36 m2"/>
        </w:smartTagPr>
        <w:r w:rsidRPr="00876001">
          <w:rPr>
            <w:rFonts w:ascii="Arial" w:hAnsi="Arial"/>
            <w:sz w:val="20"/>
            <w:szCs w:val="20"/>
            <w:highlight w:val="yellow"/>
          </w:rPr>
          <w:t>0,36 m</w:t>
        </w:r>
        <w:r w:rsidRPr="00876001">
          <w:rPr>
            <w:rFonts w:ascii="Arial" w:hAnsi="Arial"/>
            <w:sz w:val="20"/>
            <w:szCs w:val="20"/>
            <w:highlight w:val="yellow"/>
            <w:vertAlign w:val="superscript"/>
          </w:rPr>
          <w:t>2</w:t>
        </w:r>
      </w:smartTag>
      <w:r w:rsidRPr="00876001">
        <w:rPr>
          <w:rFonts w:ascii="Arial" w:hAnsi="Arial"/>
          <w:sz w:val="20"/>
          <w:szCs w:val="20"/>
          <w:highlight w:val="yellow"/>
        </w:rPr>
        <w:t xml:space="preserve"> per abitante</w:t>
      </w:r>
      <w:r w:rsidRPr="00A20895">
        <w:rPr>
          <w:rFonts w:ascii="Arial" w:hAnsi="Arial"/>
          <w:sz w:val="20"/>
          <w:szCs w:val="20"/>
        </w:rPr>
        <w:t xml:space="preserve">. Analogamente al 2011, anche quest’anno cinque comuni superano la soglia di </w:t>
      </w:r>
      <w:smartTag w:uri="urn:schemas-microsoft-com:office:smarttags" w:element="metricconverter">
        <w:smartTagPr>
          <w:attr w:name="ProductID" w:val="1 m2"/>
        </w:smartTagPr>
        <w:r w:rsidRPr="00A20895">
          <w:rPr>
            <w:rFonts w:ascii="Arial" w:hAnsi="Arial"/>
            <w:sz w:val="20"/>
            <w:szCs w:val="20"/>
          </w:rPr>
          <w:t>1 m</w:t>
        </w:r>
        <w:r w:rsidRPr="00A20895">
          <w:rPr>
            <w:rFonts w:ascii="Arial" w:hAnsi="Arial"/>
            <w:sz w:val="20"/>
            <w:szCs w:val="20"/>
            <w:vertAlign w:val="superscript"/>
          </w:rPr>
          <w:t>2</w:t>
        </w:r>
      </w:smartTag>
      <w:r w:rsidRPr="00A20895">
        <w:rPr>
          <w:rFonts w:ascii="Arial" w:hAnsi="Arial"/>
          <w:sz w:val="20"/>
          <w:szCs w:val="20"/>
        </w:rPr>
        <w:t xml:space="preserve"> per abitante: Cremona (</w:t>
      </w:r>
      <w:smartTag w:uri="urn:schemas-microsoft-com:office:smarttags" w:element="metricconverter">
        <w:smartTagPr>
          <w:attr w:name="ProductID" w:val="1,07 m2"/>
        </w:smartTagPr>
        <w:r w:rsidRPr="00A20895">
          <w:rPr>
            <w:rFonts w:ascii="Arial" w:hAnsi="Arial"/>
            <w:sz w:val="20"/>
            <w:szCs w:val="20"/>
          </w:rPr>
          <w:t>1,07 m</w:t>
        </w:r>
        <w:r w:rsidRPr="00A20895">
          <w:rPr>
            <w:rFonts w:ascii="Arial" w:hAnsi="Arial"/>
            <w:sz w:val="20"/>
            <w:szCs w:val="20"/>
            <w:vertAlign w:val="superscript"/>
          </w:rPr>
          <w:t>2</w:t>
        </w:r>
      </w:smartTag>
      <w:r w:rsidRPr="00A20895">
        <w:rPr>
          <w:rFonts w:ascii="Arial" w:hAnsi="Arial"/>
          <w:sz w:val="20"/>
          <w:szCs w:val="20"/>
        </w:rPr>
        <w:t>), Firenze (</w:t>
      </w:r>
      <w:smartTag w:uri="urn:schemas-microsoft-com:office:smarttags" w:element="metricconverter">
        <w:smartTagPr>
          <w:attr w:name="ProductID" w:val="1,08 m2"/>
        </w:smartTagPr>
        <w:r w:rsidRPr="00A20895">
          <w:rPr>
            <w:rFonts w:ascii="Arial" w:hAnsi="Arial"/>
            <w:sz w:val="20"/>
            <w:szCs w:val="20"/>
          </w:rPr>
          <w:t>1,08 m</w:t>
        </w:r>
        <w:r w:rsidRPr="00A20895">
          <w:rPr>
            <w:rFonts w:ascii="Arial" w:hAnsi="Arial"/>
            <w:sz w:val="20"/>
            <w:szCs w:val="20"/>
            <w:vertAlign w:val="superscript"/>
          </w:rPr>
          <w:t>2</w:t>
        </w:r>
      </w:smartTag>
      <w:r w:rsidRPr="00A20895">
        <w:rPr>
          <w:rFonts w:ascii="Arial" w:hAnsi="Arial"/>
          <w:sz w:val="20"/>
          <w:szCs w:val="20"/>
        </w:rPr>
        <w:t>), Lucca (</w:t>
      </w:r>
      <w:smartTag w:uri="urn:schemas-microsoft-com:office:smarttags" w:element="metricconverter">
        <w:smartTagPr>
          <w:attr w:name="ProductID" w:val="1,19 m2"/>
        </w:smartTagPr>
        <w:r w:rsidRPr="00A20895">
          <w:rPr>
            <w:rFonts w:ascii="Arial" w:hAnsi="Arial"/>
            <w:sz w:val="20"/>
            <w:szCs w:val="20"/>
          </w:rPr>
          <w:t>1,19 m</w:t>
        </w:r>
        <w:r w:rsidRPr="00A20895">
          <w:rPr>
            <w:rFonts w:ascii="Arial" w:hAnsi="Arial"/>
            <w:sz w:val="20"/>
            <w:szCs w:val="20"/>
            <w:vertAlign w:val="superscript"/>
          </w:rPr>
          <w:t>2</w:t>
        </w:r>
      </w:smartTag>
      <w:r w:rsidRPr="00A20895">
        <w:rPr>
          <w:rFonts w:ascii="Arial" w:hAnsi="Arial"/>
          <w:sz w:val="20"/>
          <w:szCs w:val="20"/>
        </w:rPr>
        <w:t>), Verbania (</w:t>
      </w:r>
      <w:smartTag w:uri="urn:schemas-microsoft-com:office:smarttags" w:element="metricconverter">
        <w:smartTagPr>
          <w:attr w:name="ProductID" w:val="2,14 m2"/>
        </w:smartTagPr>
        <w:r w:rsidRPr="00A20895">
          <w:rPr>
            <w:rFonts w:ascii="Arial" w:hAnsi="Arial"/>
            <w:sz w:val="20"/>
            <w:szCs w:val="20"/>
          </w:rPr>
          <w:t>2,14 m</w:t>
        </w:r>
        <w:r w:rsidRPr="00A20895">
          <w:rPr>
            <w:rFonts w:ascii="Arial" w:hAnsi="Arial"/>
            <w:sz w:val="20"/>
            <w:szCs w:val="20"/>
            <w:vertAlign w:val="superscript"/>
          </w:rPr>
          <w:t>2</w:t>
        </w:r>
      </w:smartTag>
      <w:r w:rsidRPr="00A20895">
        <w:rPr>
          <w:rFonts w:ascii="Arial" w:hAnsi="Arial"/>
          <w:sz w:val="20"/>
          <w:szCs w:val="20"/>
        </w:rPr>
        <w:t xml:space="preserve">) e Venezia (che registra un valore molto alto, bel oltre i </w:t>
      </w:r>
      <w:smartTag w:uri="urn:schemas-microsoft-com:office:smarttags" w:element="metricconverter">
        <w:smartTagPr>
          <w:attr w:name="ProductID" w:val="5 m2"/>
        </w:smartTagPr>
        <w:r w:rsidRPr="00A20895">
          <w:rPr>
            <w:rFonts w:ascii="Arial" w:hAnsi="Arial"/>
            <w:sz w:val="20"/>
            <w:szCs w:val="20"/>
          </w:rPr>
          <w:t>5 m</w:t>
        </w:r>
        <w:r w:rsidRPr="00A20895">
          <w:rPr>
            <w:rFonts w:ascii="Arial" w:hAnsi="Arial"/>
            <w:sz w:val="20"/>
            <w:szCs w:val="20"/>
            <w:vertAlign w:val="superscript"/>
          </w:rPr>
          <w:t>2</w:t>
        </w:r>
      </w:smartTag>
      <w:r w:rsidRPr="00A20895">
        <w:rPr>
          <w:rFonts w:ascii="Arial" w:hAnsi="Arial"/>
          <w:sz w:val="20"/>
          <w:szCs w:val="20"/>
        </w:rPr>
        <w:t xml:space="preserve">). In valore assoluto, oltre al caso eccezionale di Venezia il cui centro storico costituisce una </w:t>
      </w:r>
      <w:smartTag w:uri="urn:schemas-microsoft-com:office:smarttags" w:element="PersonName">
        <w:smartTagPr>
          <w:attr w:name="ProductID" w:val="grande isola"/>
        </w:smartTagPr>
        <w:r w:rsidRPr="00A20895">
          <w:rPr>
            <w:rFonts w:ascii="Arial" w:hAnsi="Arial"/>
            <w:sz w:val="20"/>
            <w:szCs w:val="20"/>
          </w:rPr>
          <w:t>grande isola</w:t>
        </w:r>
      </w:smartTag>
      <w:r w:rsidRPr="00A20895">
        <w:rPr>
          <w:rFonts w:ascii="Arial" w:hAnsi="Arial"/>
          <w:sz w:val="20"/>
          <w:szCs w:val="20"/>
        </w:rPr>
        <w:t xml:space="preserve"> pedonale da più di 1 milione di m</w:t>
      </w:r>
      <w:r w:rsidRPr="00A20895">
        <w:rPr>
          <w:rFonts w:ascii="Arial" w:hAnsi="Arial"/>
          <w:sz w:val="20"/>
          <w:szCs w:val="20"/>
          <w:vertAlign w:val="superscript"/>
        </w:rPr>
        <w:t>2</w:t>
      </w:r>
      <w:r w:rsidRPr="00A20895">
        <w:rPr>
          <w:rFonts w:ascii="Arial" w:hAnsi="Arial"/>
          <w:sz w:val="20"/>
          <w:szCs w:val="20"/>
        </w:rPr>
        <w:t xml:space="preserve">, sono naturalmente le grandi città a presentare maggiori superfici pedonalizzate: Firenze con </w:t>
      </w:r>
      <w:smartTag w:uri="urn:schemas-microsoft-com:office:smarttags" w:element="metricconverter">
        <w:smartTagPr>
          <w:attr w:name="ProductID" w:val="396.954 m2"/>
        </w:smartTagPr>
        <w:r w:rsidRPr="00A20895">
          <w:rPr>
            <w:rFonts w:ascii="Arial" w:hAnsi="Arial"/>
            <w:sz w:val="20"/>
            <w:szCs w:val="20"/>
          </w:rPr>
          <w:t>396.954 m</w:t>
        </w:r>
        <w:r w:rsidRPr="00A20895">
          <w:rPr>
            <w:rFonts w:ascii="Arial" w:hAnsi="Arial"/>
            <w:sz w:val="20"/>
            <w:szCs w:val="20"/>
            <w:vertAlign w:val="superscript"/>
          </w:rPr>
          <w:t>2</w:t>
        </w:r>
      </w:smartTag>
      <w:r w:rsidRPr="00A20895">
        <w:rPr>
          <w:rFonts w:ascii="Arial" w:hAnsi="Arial"/>
          <w:sz w:val="20"/>
          <w:szCs w:val="20"/>
        </w:rPr>
        <w:t xml:space="preserve">, Torino con </w:t>
      </w:r>
      <w:smartTag w:uri="urn:schemas-microsoft-com:office:smarttags" w:element="metricconverter">
        <w:smartTagPr>
          <w:attr w:name="ProductID" w:val="415.407 m2"/>
        </w:smartTagPr>
        <w:r w:rsidRPr="00A20895">
          <w:rPr>
            <w:rFonts w:ascii="Arial" w:hAnsi="Arial" w:cs="Arial"/>
            <w:sz w:val="20"/>
            <w:szCs w:val="20"/>
          </w:rPr>
          <w:t>415.407</w:t>
        </w:r>
        <w:r w:rsidRPr="00A20895">
          <w:rPr>
            <w:rFonts w:ascii="Arial" w:hAnsi="Arial"/>
            <w:sz w:val="20"/>
            <w:szCs w:val="20"/>
          </w:rPr>
          <w:t xml:space="preserve"> m</w:t>
        </w:r>
        <w:r w:rsidRPr="00A20895">
          <w:rPr>
            <w:rFonts w:ascii="Arial" w:hAnsi="Arial"/>
            <w:sz w:val="20"/>
            <w:szCs w:val="20"/>
            <w:vertAlign w:val="superscript"/>
          </w:rPr>
          <w:t>2</w:t>
        </w:r>
      </w:smartTag>
      <w:r w:rsidRPr="00A20895">
        <w:rPr>
          <w:rFonts w:ascii="Arial" w:hAnsi="Arial"/>
          <w:sz w:val="20"/>
          <w:szCs w:val="20"/>
        </w:rPr>
        <w:t xml:space="preserve"> (in aumento rispetto al </w:t>
      </w:r>
      <w:smartTag w:uri="urn:schemas-microsoft-com:office:smarttags" w:element="metricconverter">
        <w:smartTagPr>
          <w:attr w:name="ProductID" w:val="2011 in"/>
        </w:smartTagPr>
        <w:r w:rsidRPr="00A20895">
          <w:rPr>
            <w:rFonts w:ascii="Arial" w:hAnsi="Arial"/>
            <w:sz w:val="20"/>
            <w:szCs w:val="20"/>
          </w:rPr>
          <w:t>2011 in</w:t>
        </w:r>
      </w:smartTag>
      <w:r w:rsidRPr="00A20895">
        <w:rPr>
          <w:rFonts w:ascii="Arial" w:hAnsi="Arial"/>
          <w:sz w:val="20"/>
          <w:szCs w:val="20"/>
        </w:rPr>
        <w:t xml:space="preserve"> cui erano </w:t>
      </w:r>
      <w:smartTag w:uri="urn:schemas-microsoft-com:office:smarttags" w:element="metricconverter">
        <w:smartTagPr>
          <w:attr w:name="ProductID" w:val="395.700 m2"/>
        </w:smartTagPr>
        <w:r w:rsidRPr="00A20895">
          <w:rPr>
            <w:rFonts w:ascii="Arial" w:hAnsi="Arial"/>
            <w:sz w:val="20"/>
            <w:szCs w:val="20"/>
          </w:rPr>
          <w:t>395.700 m</w:t>
        </w:r>
        <w:r w:rsidRPr="00A20895">
          <w:rPr>
            <w:rFonts w:ascii="Arial" w:hAnsi="Arial"/>
            <w:sz w:val="20"/>
            <w:szCs w:val="20"/>
            <w:vertAlign w:val="superscript"/>
          </w:rPr>
          <w:t>2</w:t>
        </w:r>
      </w:smartTag>
      <w:r w:rsidRPr="00A20895">
        <w:rPr>
          <w:rFonts w:ascii="Arial" w:hAnsi="Arial"/>
          <w:sz w:val="20"/>
          <w:szCs w:val="20"/>
        </w:rPr>
        <w:t xml:space="preserve">), Milano con </w:t>
      </w:r>
      <w:smartTag w:uri="urn:schemas-microsoft-com:office:smarttags" w:element="metricconverter">
        <w:smartTagPr>
          <w:attr w:name="ProductID" w:val="410.773 m2"/>
        </w:smartTagPr>
        <w:r w:rsidRPr="00A20895">
          <w:rPr>
            <w:rFonts w:ascii="Arial" w:hAnsi="Arial" w:cs="Arial"/>
            <w:sz w:val="20"/>
            <w:szCs w:val="20"/>
          </w:rPr>
          <w:t>410.773</w:t>
        </w:r>
        <w:r w:rsidRPr="00A20895">
          <w:rPr>
            <w:rFonts w:ascii="Arial" w:hAnsi="Arial"/>
            <w:sz w:val="20"/>
            <w:szCs w:val="20"/>
          </w:rPr>
          <w:t xml:space="preserve"> m</w:t>
        </w:r>
        <w:r w:rsidRPr="00A20895">
          <w:rPr>
            <w:rFonts w:ascii="Arial" w:hAnsi="Arial"/>
            <w:sz w:val="20"/>
            <w:szCs w:val="20"/>
            <w:vertAlign w:val="superscript"/>
          </w:rPr>
          <w:t>2</w:t>
        </w:r>
      </w:smartTag>
      <w:r w:rsidRPr="00A20895">
        <w:rPr>
          <w:rFonts w:ascii="Arial" w:hAnsi="Arial" w:cs="Arial"/>
          <w:sz w:val="20"/>
          <w:szCs w:val="20"/>
        </w:rPr>
        <w:t xml:space="preserve"> (anch’essa in aumento rispetto ai </w:t>
      </w:r>
      <w:smartTag w:uri="urn:schemas-microsoft-com:office:smarttags" w:element="metricconverter">
        <w:smartTagPr>
          <w:attr w:name="ProductID" w:val="387.321 m2"/>
        </w:smartTagPr>
        <w:r w:rsidRPr="00A20895">
          <w:rPr>
            <w:rFonts w:ascii="Arial" w:hAnsi="Arial"/>
            <w:sz w:val="20"/>
            <w:szCs w:val="20"/>
          </w:rPr>
          <w:t>387.321 m</w:t>
        </w:r>
        <w:r w:rsidRPr="00A20895">
          <w:rPr>
            <w:rFonts w:ascii="Arial" w:hAnsi="Arial"/>
            <w:sz w:val="20"/>
            <w:szCs w:val="20"/>
            <w:vertAlign w:val="superscript"/>
          </w:rPr>
          <w:t>2</w:t>
        </w:r>
      </w:smartTag>
      <w:r w:rsidRPr="00A20895">
        <w:rPr>
          <w:rFonts w:ascii="Arial" w:hAnsi="Arial"/>
          <w:sz w:val="20"/>
          <w:szCs w:val="20"/>
        </w:rPr>
        <w:t xml:space="preserve"> del 2011) e Roma con </w:t>
      </w:r>
      <w:smartTag w:uri="urn:schemas-microsoft-com:office:smarttags" w:element="metricconverter">
        <w:smartTagPr>
          <w:attr w:name="ProductID" w:val="485.494 m2"/>
        </w:smartTagPr>
        <w:r w:rsidRPr="00A20895">
          <w:rPr>
            <w:rFonts w:ascii="Arial" w:hAnsi="Arial" w:cs="Arial"/>
            <w:sz w:val="20"/>
            <w:szCs w:val="20"/>
          </w:rPr>
          <w:t xml:space="preserve">485.494 </w:t>
        </w:r>
        <w:r w:rsidRPr="00A20895">
          <w:rPr>
            <w:rFonts w:ascii="Arial" w:hAnsi="Arial"/>
            <w:sz w:val="20"/>
            <w:szCs w:val="20"/>
          </w:rPr>
          <w:t>m</w:t>
        </w:r>
        <w:r w:rsidRPr="00A20895">
          <w:rPr>
            <w:rFonts w:ascii="Arial" w:hAnsi="Arial"/>
            <w:sz w:val="20"/>
            <w:szCs w:val="20"/>
            <w:vertAlign w:val="superscript"/>
          </w:rPr>
          <w:t>2</w:t>
        </w:r>
      </w:smartTag>
      <w:r w:rsidRPr="00A20895">
        <w:rPr>
          <w:rFonts w:ascii="Arial" w:hAnsi="Arial"/>
          <w:sz w:val="20"/>
          <w:szCs w:val="20"/>
        </w:rPr>
        <w:t xml:space="preserve"> (era 382.500m</w:t>
      </w:r>
      <w:r w:rsidRPr="00A20895">
        <w:rPr>
          <w:rFonts w:ascii="Arial" w:hAnsi="Arial"/>
          <w:sz w:val="20"/>
          <w:szCs w:val="20"/>
          <w:vertAlign w:val="superscript"/>
        </w:rPr>
        <w:t>2</w:t>
      </w:r>
      <w:r w:rsidRPr="00A20895">
        <w:rPr>
          <w:rFonts w:ascii="Arial" w:hAnsi="Arial"/>
          <w:sz w:val="20"/>
          <w:szCs w:val="20"/>
        </w:rPr>
        <w:t>).</w:t>
      </w:r>
    </w:p>
    <w:p w:rsidR="00E36E2B" w:rsidRPr="00A20895" w:rsidRDefault="00E36E2B" w:rsidP="00E36E2B">
      <w:pPr>
        <w:jc w:val="both"/>
        <w:rPr>
          <w:rFonts w:ascii="Arial" w:hAnsi="Arial"/>
          <w:sz w:val="20"/>
          <w:szCs w:val="20"/>
        </w:rPr>
      </w:pPr>
      <w:r w:rsidRPr="00A20895">
        <w:rPr>
          <w:rFonts w:ascii="Arial" w:hAnsi="Arial"/>
          <w:sz w:val="20"/>
          <w:szCs w:val="20"/>
        </w:rPr>
        <w:t>Se, invece, si considera la superficie pedonalizzata a disposizione del singolo abitante si nota come questa resti molto esigua: non solo la media italiana, come ricordato è pari a solo 0,36 m</w:t>
      </w:r>
      <w:r w:rsidRPr="00A20895">
        <w:rPr>
          <w:rFonts w:ascii="Arial" w:hAnsi="Arial"/>
          <w:sz w:val="20"/>
          <w:szCs w:val="20"/>
          <w:vertAlign w:val="superscript"/>
        </w:rPr>
        <w:t>2</w:t>
      </w:r>
      <w:r w:rsidRPr="00A20895">
        <w:rPr>
          <w:rFonts w:ascii="Arial" w:hAnsi="Arial"/>
          <w:sz w:val="20"/>
          <w:szCs w:val="20"/>
        </w:rPr>
        <w:t>/ab, ma ben 20 città presentano meno di 0,1 m</w:t>
      </w:r>
      <w:r w:rsidRPr="00A20895">
        <w:rPr>
          <w:rFonts w:ascii="Arial" w:hAnsi="Arial"/>
          <w:sz w:val="20"/>
          <w:szCs w:val="20"/>
          <w:vertAlign w:val="superscript"/>
        </w:rPr>
        <w:t>2</w:t>
      </w:r>
      <w:r w:rsidRPr="00A20895">
        <w:rPr>
          <w:rFonts w:ascii="Arial" w:hAnsi="Arial"/>
          <w:sz w:val="20"/>
          <w:szCs w:val="20"/>
        </w:rPr>
        <w:t>/ab, e tra queste in 2  (Brindisi e Trapani) non è stata istituita alcuna isola pedonale.</w:t>
      </w:r>
    </w:p>
    <w:p w:rsidR="00E36E2B" w:rsidRPr="00A20895" w:rsidRDefault="00E36E2B" w:rsidP="00E36E2B">
      <w:pPr>
        <w:jc w:val="both"/>
        <w:rPr>
          <w:rFonts w:ascii="Arial" w:hAnsi="Arial"/>
          <w:sz w:val="20"/>
          <w:szCs w:val="20"/>
        </w:rPr>
      </w:pPr>
      <w:r w:rsidRPr="00A20895">
        <w:rPr>
          <w:rFonts w:ascii="Arial" w:hAnsi="Arial"/>
          <w:sz w:val="20"/>
          <w:szCs w:val="20"/>
        </w:rPr>
        <w:t>Nonostante le dovute verifiche fatte durante una fase di controllo, è comunque necessario precisare che il dato relativo alla superficie stradale pedonalizzata in maniera permanente, per quanto teoricamente non equivoco, talvolta può venire interpretato in maniera non sempre univoca dalle singole città, con metodi di calcolo che possono risultare non omogenei.</w:t>
      </w:r>
    </w:p>
    <w:p w:rsidR="00E36E2B" w:rsidRPr="00A20895" w:rsidRDefault="00E36E2B" w:rsidP="00E36E2B">
      <w:pPr>
        <w:jc w:val="both"/>
        <w:rPr>
          <w:rFonts w:ascii="Arial" w:hAnsi="Arial"/>
        </w:rPr>
      </w:pPr>
    </w:p>
    <w:p w:rsidR="00E36E2B" w:rsidRPr="00A20895" w:rsidRDefault="00E36E2B" w:rsidP="00E36E2B">
      <w:pPr>
        <w:jc w:val="both"/>
        <w:rPr>
          <w:rFonts w:ascii="Arial" w:hAnsi="Arial"/>
        </w:rPr>
      </w:pPr>
    </w:p>
    <w:p w:rsidR="00E36E2B" w:rsidRPr="00A20895" w:rsidRDefault="00E36E2B" w:rsidP="00E36E2B">
      <w:pPr>
        <w:numPr>
          <w:ilvl w:val="0"/>
          <w:numId w:val="22"/>
        </w:numPr>
        <w:jc w:val="both"/>
        <w:rPr>
          <w:rFonts w:ascii="Arial" w:hAnsi="Arial"/>
          <w:b/>
        </w:rPr>
      </w:pPr>
      <w:r w:rsidRPr="00A20895">
        <w:rPr>
          <w:rFonts w:ascii="Arial" w:hAnsi="Arial"/>
          <w:b/>
        </w:rPr>
        <w:t>Zone a Traffico Limitato</w:t>
      </w:r>
    </w:p>
    <w:p w:rsidR="00E36E2B" w:rsidRPr="00A20895" w:rsidRDefault="00E36E2B" w:rsidP="00E36E2B">
      <w:pPr>
        <w:jc w:val="both"/>
        <w:rPr>
          <w:rFonts w:ascii="Arial" w:hAnsi="Arial"/>
          <w:i/>
        </w:rPr>
      </w:pPr>
      <w:r w:rsidRPr="00A20895">
        <w:rPr>
          <w:rFonts w:ascii="Arial" w:hAnsi="Arial"/>
          <w:i/>
        </w:rPr>
        <w:t xml:space="preserve"> (Estensione pro capite di area destinata a ZTL (mq/ab); fonte: censimento </w:t>
      </w:r>
      <w:smartTag w:uri="urn:schemas-microsoft-com:office:smarttags" w:element="PersonName">
        <w:smartTagPr>
          <w:attr w:name="ProductID" w:val="Ecosistema Urbano"/>
        </w:smartTagPr>
        <w:r w:rsidRPr="00A20895">
          <w:rPr>
            <w:rFonts w:ascii="Arial" w:hAnsi="Arial"/>
            <w:i/>
          </w:rPr>
          <w:t>Ecosistema Urbano</w:t>
        </w:r>
      </w:smartTag>
      <w:r w:rsidRPr="00A20895">
        <w:rPr>
          <w:rFonts w:ascii="Arial" w:hAnsi="Arial"/>
          <w:i/>
        </w:rPr>
        <w:t xml:space="preserve"> XX)</w:t>
      </w:r>
    </w:p>
    <w:p w:rsidR="00E36E2B" w:rsidRPr="00A20895" w:rsidRDefault="00E36E2B" w:rsidP="00E36E2B">
      <w:pPr>
        <w:jc w:val="both"/>
        <w:rPr>
          <w:rFonts w:ascii="Arial" w:hAnsi="Arial"/>
          <w:i/>
          <w:sz w:val="10"/>
          <w:szCs w:val="10"/>
        </w:rPr>
      </w:pPr>
    </w:p>
    <w:p w:rsidR="00E36E2B" w:rsidRPr="00A20895" w:rsidRDefault="00E36E2B" w:rsidP="00E36E2B">
      <w:pPr>
        <w:jc w:val="both"/>
        <w:rPr>
          <w:rFonts w:ascii="Arial" w:hAnsi="Arial"/>
          <w:sz w:val="20"/>
          <w:szCs w:val="20"/>
        </w:rPr>
      </w:pPr>
      <w:r w:rsidRPr="00A20895">
        <w:rPr>
          <w:rFonts w:ascii="Arial" w:hAnsi="Arial"/>
          <w:sz w:val="20"/>
          <w:szCs w:val="20"/>
        </w:rPr>
        <w:lastRenderedPageBreak/>
        <w:t xml:space="preserve">Ai fini della costruzione di questo indicatore, quest’anno si è deciso di considerare le Zone a Traffico Limitato (ZTL) istituite almeno per tutti i giorni feriali (lunedì-venerdì), con una durata superiore alle 8 ore diurne ed estese a tutte le tipologie di veicoli. </w:t>
      </w:r>
    </w:p>
    <w:p w:rsidR="00E36E2B" w:rsidRPr="00A20895" w:rsidRDefault="00E36E2B" w:rsidP="00E36E2B">
      <w:pPr>
        <w:jc w:val="both"/>
        <w:rPr>
          <w:rFonts w:ascii="Arial" w:hAnsi="Arial"/>
          <w:sz w:val="20"/>
          <w:szCs w:val="20"/>
        </w:rPr>
      </w:pPr>
      <w:r w:rsidRPr="00A20895">
        <w:rPr>
          <w:rFonts w:ascii="Arial" w:hAnsi="Arial"/>
          <w:sz w:val="20"/>
          <w:szCs w:val="20"/>
        </w:rPr>
        <w:t>Da uno sguardo ai valori assoluti si evince che è Roma a avere la ZTL più ampia, con quasi 6 milioni di m</w:t>
      </w:r>
      <w:r w:rsidRPr="00A20895">
        <w:rPr>
          <w:rFonts w:ascii="Arial" w:hAnsi="Arial"/>
          <w:sz w:val="20"/>
          <w:szCs w:val="20"/>
          <w:vertAlign w:val="superscript"/>
        </w:rPr>
        <w:t>2</w:t>
      </w:r>
      <w:r w:rsidRPr="00A20895">
        <w:rPr>
          <w:rFonts w:ascii="Arial" w:hAnsi="Arial"/>
          <w:sz w:val="20"/>
          <w:szCs w:val="20"/>
        </w:rPr>
        <w:t>, seguita da Firenze con 4,2 milioni e Bologna con 3,2 milioni; più in generale, sono dieci i comuni dotati di ZTL con una estensione maggiore a 1 milione di m</w:t>
      </w:r>
      <w:r w:rsidRPr="00A20895">
        <w:rPr>
          <w:rFonts w:ascii="Arial" w:hAnsi="Arial"/>
          <w:sz w:val="20"/>
          <w:szCs w:val="20"/>
          <w:vertAlign w:val="superscript"/>
        </w:rPr>
        <w:t>2</w:t>
      </w:r>
      <w:r w:rsidRPr="00A20895">
        <w:rPr>
          <w:rFonts w:ascii="Arial" w:hAnsi="Arial"/>
          <w:sz w:val="20"/>
          <w:szCs w:val="20"/>
        </w:rPr>
        <w:t>: quattro grandi città (Roma, Firenze, Bologna e Padova), cinque medie (Ferrara, Pisa, Brescia, Lucca e Parma) e Siena, unica fra le piccole. Sono invece 16 le città che non hanno ancora adottato forme di limitazione del traffico, oppure che non rientrano nei parametri stabiliti, mentre di 5 non sono disponibili i dati.</w:t>
      </w:r>
    </w:p>
    <w:p w:rsidR="00E36E2B" w:rsidRPr="00A20895" w:rsidRDefault="00E36E2B" w:rsidP="00E36E2B">
      <w:pPr>
        <w:jc w:val="both"/>
        <w:rPr>
          <w:rFonts w:ascii="Arial" w:hAnsi="Arial"/>
          <w:sz w:val="20"/>
          <w:szCs w:val="20"/>
        </w:rPr>
      </w:pPr>
      <w:r w:rsidRPr="00A20895">
        <w:rPr>
          <w:rFonts w:ascii="Arial" w:hAnsi="Arial"/>
          <w:sz w:val="20"/>
          <w:szCs w:val="20"/>
        </w:rPr>
        <w:t xml:space="preserve">Guardando invece al valore pro capite di ZTL disponibile, la media della totalità dei capoluoghi italiani si attesta leggermente al di sotto dei </w:t>
      </w:r>
      <w:smartTag w:uri="urn:schemas-microsoft-com:office:smarttags" w:element="metricconverter">
        <w:smartTagPr>
          <w:attr w:name="ProductID" w:val="3,2 m2"/>
        </w:smartTagPr>
        <w:r w:rsidRPr="00A20895">
          <w:rPr>
            <w:rFonts w:ascii="Arial" w:hAnsi="Arial"/>
            <w:sz w:val="20"/>
            <w:szCs w:val="20"/>
          </w:rPr>
          <w:t>3,2 m</w:t>
        </w:r>
        <w:r w:rsidRPr="00A20895">
          <w:rPr>
            <w:rFonts w:ascii="Arial" w:hAnsi="Arial"/>
            <w:sz w:val="20"/>
            <w:szCs w:val="20"/>
            <w:vertAlign w:val="superscript"/>
          </w:rPr>
          <w:t>2</w:t>
        </w:r>
      </w:smartTag>
      <w:r w:rsidRPr="00A20895">
        <w:rPr>
          <w:rFonts w:ascii="Arial" w:hAnsi="Arial"/>
          <w:sz w:val="20"/>
          <w:szCs w:val="20"/>
        </w:rPr>
        <w:t xml:space="preserve"> per abitante. Tra le grandi città la situazione resta invariata: primeggia Firenze con 11,64 m</w:t>
      </w:r>
      <w:r w:rsidRPr="00A20895">
        <w:rPr>
          <w:rFonts w:ascii="Arial" w:hAnsi="Arial"/>
          <w:sz w:val="20"/>
          <w:szCs w:val="20"/>
          <w:vertAlign w:val="superscript"/>
        </w:rPr>
        <w:t>2</w:t>
      </w:r>
      <w:r w:rsidRPr="00A20895">
        <w:rPr>
          <w:rFonts w:ascii="Arial" w:hAnsi="Arial"/>
          <w:sz w:val="20"/>
          <w:szCs w:val="20"/>
        </w:rPr>
        <w:t>/ab, seguita da Bologna (8,41 m</w:t>
      </w:r>
      <w:r w:rsidRPr="00A20895">
        <w:rPr>
          <w:rFonts w:ascii="Arial" w:hAnsi="Arial"/>
          <w:sz w:val="20"/>
          <w:szCs w:val="20"/>
          <w:vertAlign w:val="superscript"/>
        </w:rPr>
        <w:t>2</w:t>
      </w:r>
      <w:r w:rsidRPr="00A20895">
        <w:rPr>
          <w:rFonts w:ascii="Arial" w:hAnsi="Arial"/>
          <w:sz w:val="20"/>
          <w:szCs w:val="20"/>
        </w:rPr>
        <w:t>/ab) e Padova (6,27 m</w:t>
      </w:r>
      <w:r w:rsidRPr="00A20895">
        <w:rPr>
          <w:rFonts w:ascii="Arial" w:hAnsi="Arial"/>
          <w:sz w:val="20"/>
          <w:szCs w:val="20"/>
          <w:vertAlign w:val="superscript"/>
        </w:rPr>
        <w:t>2</w:t>
      </w:r>
      <w:r w:rsidRPr="00A20895">
        <w:rPr>
          <w:rFonts w:ascii="Arial" w:hAnsi="Arial"/>
          <w:sz w:val="20"/>
          <w:szCs w:val="20"/>
        </w:rPr>
        <w:t>/ab), e Verona (3,43 m</w:t>
      </w:r>
      <w:r w:rsidRPr="00A20895">
        <w:rPr>
          <w:rFonts w:ascii="Arial" w:hAnsi="Arial"/>
          <w:sz w:val="20"/>
          <w:szCs w:val="20"/>
          <w:vertAlign w:val="superscript"/>
        </w:rPr>
        <w:t>2</w:t>
      </w:r>
      <w:r w:rsidRPr="00A20895">
        <w:rPr>
          <w:rFonts w:ascii="Arial" w:hAnsi="Arial"/>
          <w:sz w:val="20"/>
          <w:szCs w:val="20"/>
        </w:rPr>
        <w:t>/ab) mentre tutte le altre sono molto staccate, con valori pari o inferiori a 2 m</w:t>
      </w:r>
      <w:r w:rsidRPr="00A20895">
        <w:rPr>
          <w:rFonts w:ascii="Arial" w:hAnsi="Arial"/>
          <w:sz w:val="20"/>
          <w:szCs w:val="20"/>
          <w:vertAlign w:val="superscript"/>
        </w:rPr>
        <w:t>2</w:t>
      </w:r>
      <w:r w:rsidRPr="00A20895">
        <w:rPr>
          <w:rFonts w:ascii="Arial" w:hAnsi="Arial"/>
          <w:sz w:val="20"/>
          <w:szCs w:val="20"/>
        </w:rPr>
        <w:t>/ab.</w:t>
      </w:r>
    </w:p>
    <w:p w:rsidR="00E36E2B" w:rsidRPr="00A20895" w:rsidRDefault="00E36E2B" w:rsidP="00E36E2B">
      <w:pPr>
        <w:jc w:val="both"/>
        <w:rPr>
          <w:rFonts w:ascii="Arial" w:hAnsi="Arial"/>
          <w:sz w:val="20"/>
          <w:szCs w:val="20"/>
        </w:rPr>
      </w:pPr>
      <w:r w:rsidRPr="00A20895">
        <w:rPr>
          <w:rFonts w:ascii="Arial" w:hAnsi="Arial"/>
          <w:sz w:val="20"/>
          <w:szCs w:val="20"/>
        </w:rPr>
        <w:t>Pisa e Lucca si posizionano alla vetta della classifica delle città di medie dimensioni, rispettivamente con 15,19 e 13,75 m</w:t>
      </w:r>
      <w:r w:rsidRPr="00A20895">
        <w:rPr>
          <w:rFonts w:ascii="Arial" w:hAnsi="Arial"/>
          <w:sz w:val="20"/>
          <w:szCs w:val="20"/>
          <w:vertAlign w:val="superscript"/>
        </w:rPr>
        <w:t>2</w:t>
      </w:r>
      <w:r w:rsidRPr="00A20895">
        <w:rPr>
          <w:rFonts w:ascii="Arial" w:hAnsi="Arial"/>
          <w:sz w:val="20"/>
          <w:szCs w:val="20"/>
        </w:rPr>
        <w:t>/ab e anche Ferrara supera i 10 m</w:t>
      </w:r>
      <w:r w:rsidRPr="00A20895">
        <w:rPr>
          <w:rFonts w:ascii="Arial" w:hAnsi="Arial"/>
          <w:sz w:val="20"/>
          <w:szCs w:val="20"/>
          <w:vertAlign w:val="superscript"/>
        </w:rPr>
        <w:t>2</w:t>
      </w:r>
      <w:r w:rsidRPr="00A20895">
        <w:rPr>
          <w:rFonts w:ascii="Arial" w:hAnsi="Arial"/>
          <w:sz w:val="20"/>
          <w:szCs w:val="20"/>
        </w:rPr>
        <w:t>/ab, mentre ben 14 comuni non raggiungono la soglia di 1 m</w:t>
      </w:r>
      <w:r w:rsidRPr="00A20895">
        <w:rPr>
          <w:rFonts w:ascii="Arial" w:hAnsi="Arial"/>
          <w:sz w:val="20"/>
          <w:szCs w:val="20"/>
          <w:vertAlign w:val="superscript"/>
        </w:rPr>
        <w:t>2</w:t>
      </w:r>
      <w:r w:rsidRPr="00A20895">
        <w:rPr>
          <w:rFonts w:ascii="Arial" w:hAnsi="Arial"/>
          <w:sz w:val="20"/>
          <w:szCs w:val="20"/>
        </w:rPr>
        <w:t>/ab.</w:t>
      </w:r>
    </w:p>
    <w:p w:rsidR="00E36E2B" w:rsidRPr="00A20895" w:rsidRDefault="00E36E2B" w:rsidP="00E36E2B">
      <w:pPr>
        <w:jc w:val="both"/>
        <w:rPr>
          <w:rFonts w:ascii="Arial" w:hAnsi="Arial"/>
          <w:sz w:val="20"/>
          <w:szCs w:val="20"/>
        </w:rPr>
      </w:pPr>
      <w:r w:rsidRPr="00A20895">
        <w:rPr>
          <w:rFonts w:ascii="Arial" w:hAnsi="Arial"/>
          <w:sz w:val="20"/>
          <w:szCs w:val="20"/>
        </w:rPr>
        <w:t>Per quanto riguarda le città piccole Siena eccelle con 31,52 m</w:t>
      </w:r>
      <w:r w:rsidRPr="00A20895">
        <w:rPr>
          <w:rFonts w:ascii="Arial" w:hAnsi="Arial"/>
          <w:sz w:val="20"/>
          <w:szCs w:val="20"/>
          <w:vertAlign w:val="superscript"/>
        </w:rPr>
        <w:t>2</w:t>
      </w:r>
      <w:r w:rsidRPr="00A20895">
        <w:rPr>
          <w:rFonts w:ascii="Arial" w:hAnsi="Arial"/>
          <w:sz w:val="20"/>
          <w:szCs w:val="20"/>
        </w:rPr>
        <w:t>/ab e stacca notevolmente le altre migliori tre città che sono al di sopra dei 10 m</w:t>
      </w:r>
      <w:r w:rsidRPr="00A20895">
        <w:rPr>
          <w:rFonts w:ascii="Arial" w:hAnsi="Arial"/>
          <w:sz w:val="20"/>
          <w:szCs w:val="20"/>
          <w:vertAlign w:val="superscript"/>
        </w:rPr>
        <w:t>2</w:t>
      </w:r>
      <w:r w:rsidRPr="00A20895">
        <w:rPr>
          <w:rFonts w:ascii="Arial" w:hAnsi="Arial"/>
          <w:sz w:val="20"/>
          <w:szCs w:val="20"/>
        </w:rPr>
        <w:t>/ab (Mantova, Ascoli Piceno e Aosta), mentre sono 22 i comuni che restano al di sotto di 1 m</w:t>
      </w:r>
      <w:r w:rsidRPr="00A20895">
        <w:rPr>
          <w:rFonts w:ascii="Arial" w:hAnsi="Arial"/>
          <w:sz w:val="20"/>
          <w:szCs w:val="20"/>
          <w:vertAlign w:val="superscript"/>
        </w:rPr>
        <w:t>2</w:t>
      </w:r>
      <w:r w:rsidRPr="00A20895">
        <w:rPr>
          <w:rFonts w:ascii="Arial" w:hAnsi="Arial"/>
          <w:sz w:val="20"/>
          <w:szCs w:val="20"/>
        </w:rPr>
        <w:t>/ab.</w:t>
      </w:r>
    </w:p>
    <w:p w:rsidR="00E36E2B" w:rsidRPr="00A20895" w:rsidRDefault="00E36E2B" w:rsidP="00E36E2B">
      <w:pPr>
        <w:jc w:val="both"/>
        <w:rPr>
          <w:rFonts w:ascii="Arial" w:hAnsi="Arial"/>
          <w:sz w:val="20"/>
          <w:szCs w:val="20"/>
        </w:rPr>
      </w:pPr>
      <w:r w:rsidRPr="00A20895">
        <w:rPr>
          <w:rFonts w:ascii="Arial" w:hAnsi="Arial"/>
          <w:sz w:val="20"/>
          <w:szCs w:val="20"/>
        </w:rPr>
        <w:t>Anche nel caso delle ZTL, analogamente a quanto è accaduto per le isole pedonali, nonostante le verifiche effettuate, possono sussistere errori nel metodo di calcolo, laddove non è stato possibile disporre di un dato aggiornato o non si è riusciti a contattare gli uffici comunali.</w:t>
      </w:r>
    </w:p>
    <w:p w:rsidR="00E36E2B" w:rsidRPr="00A20895" w:rsidRDefault="00E36E2B" w:rsidP="00E36E2B">
      <w:pPr>
        <w:jc w:val="both"/>
        <w:rPr>
          <w:rFonts w:ascii="Arial" w:hAnsi="Arial"/>
          <w:sz w:val="20"/>
          <w:szCs w:val="20"/>
        </w:rPr>
      </w:pPr>
      <w:r w:rsidRPr="00A20895">
        <w:rPr>
          <w:rFonts w:ascii="Arial" w:hAnsi="Arial"/>
          <w:sz w:val="20"/>
          <w:szCs w:val="20"/>
        </w:rPr>
        <w:t>Infine, poiché uno dei principali problemi connessi all’efficacia del funzionamento delle ZTL è rappresentato dagli ingressi di veicoli motorizzati non autorizzati, nell’indice sulla mobilità sostenibile, da 4 anni a questa parte, viene verificata e premiata anche la presenza di controlli elettronici ai varchi delle ZTL.</w:t>
      </w:r>
    </w:p>
    <w:p w:rsidR="00E36E2B" w:rsidRPr="00A20895" w:rsidRDefault="00E36E2B" w:rsidP="00E36E2B">
      <w:pPr>
        <w:jc w:val="both"/>
        <w:rPr>
          <w:rFonts w:ascii="Arial" w:hAnsi="Arial"/>
          <w:sz w:val="20"/>
          <w:szCs w:val="20"/>
        </w:rPr>
      </w:pPr>
    </w:p>
    <w:p w:rsidR="00E36E2B" w:rsidRPr="00A20895" w:rsidRDefault="00E36E2B" w:rsidP="00E36E2B">
      <w:pPr>
        <w:jc w:val="both"/>
        <w:rPr>
          <w:rFonts w:ascii="Arial" w:hAnsi="Arial"/>
        </w:rPr>
      </w:pPr>
    </w:p>
    <w:p w:rsidR="00E36E2B" w:rsidRPr="00A20895" w:rsidRDefault="00E36E2B" w:rsidP="00E36E2B">
      <w:pPr>
        <w:numPr>
          <w:ilvl w:val="0"/>
          <w:numId w:val="22"/>
        </w:numPr>
        <w:jc w:val="both"/>
        <w:rPr>
          <w:rFonts w:ascii="Arial" w:hAnsi="Arial"/>
          <w:b/>
        </w:rPr>
      </w:pPr>
      <w:r w:rsidRPr="00A20895">
        <w:rPr>
          <w:rFonts w:ascii="Arial" w:hAnsi="Arial"/>
          <w:b/>
        </w:rPr>
        <w:t>Piste ciclabili</w:t>
      </w:r>
    </w:p>
    <w:p w:rsidR="00E36E2B" w:rsidRPr="00A20895" w:rsidRDefault="00E36E2B" w:rsidP="00E36E2B">
      <w:pPr>
        <w:jc w:val="both"/>
        <w:rPr>
          <w:rFonts w:ascii="Arial" w:hAnsi="Arial"/>
          <w:i/>
        </w:rPr>
      </w:pPr>
      <w:r w:rsidRPr="00A20895">
        <w:rPr>
          <w:rFonts w:ascii="Arial" w:hAnsi="Arial"/>
          <w:i/>
        </w:rPr>
        <w:t xml:space="preserve">(Lunghezza e tipologia delle piste ciclabili, zone20 e zone30 (m_eq/100 ab); fonte: censimento </w:t>
      </w:r>
      <w:smartTag w:uri="urn:schemas-microsoft-com:office:smarttags" w:element="PersonName">
        <w:smartTagPr>
          <w:attr w:name="ProductID" w:val="Ecosistema Urbano"/>
        </w:smartTagPr>
        <w:r w:rsidRPr="00A20895">
          <w:rPr>
            <w:rFonts w:ascii="Arial" w:hAnsi="Arial"/>
            <w:i/>
          </w:rPr>
          <w:t>Ecosistema Urbano</w:t>
        </w:r>
      </w:smartTag>
      <w:r w:rsidRPr="00A20895">
        <w:rPr>
          <w:rFonts w:ascii="Arial" w:hAnsi="Arial"/>
          <w:i/>
        </w:rPr>
        <w:t xml:space="preserve"> XX)</w:t>
      </w:r>
    </w:p>
    <w:p w:rsidR="00E36E2B" w:rsidRPr="00A20895" w:rsidRDefault="00E36E2B" w:rsidP="00E36E2B">
      <w:pPr>
        <w:jc w:val="both"/>
        <w:rPr>
          <w:rFonts w:ascii="Arial" w:hAnsi="Arial"/>
          <w:sz w:val="10"/>
          <w:szCs w:val="10"/>
        </w:rPr>
      </w:pPr>
    </w:p>
    <w:p w:rsidR="00E36E2B" w:rsidRPr="00A20895" w:rsidRDefault="00E36E2B" w:rsidP="00E36E2B">
      <w:pPr>
        <w:jc w:val="both"/>
        <w:rPr>
          <w:rFonts w:ascii="Arial" w:hAnsi="Arial"/>
          <w:sz w:val="20"/>
          <w:szCs w:val="20"/>
        </w:rPr>
      </w:pPr>
      <w:r w:rsidRPr="00A20895">
        <w:rPr>
          <w:rFonts w:ascii="Arial" w:hAnsi="Arial"/>
          <w:sz w:val="20"/>
          <w:szCs w:val="20"/>
        </w:rPr>
        <w:t xml:space="preserve">Per costruire un indicatore in grado di valutare l’offerta ciclabile di una città sono stati considerati i km di piste ciclabili in sede propria, i km di piste ciclabili in corsia riservata, i km di piste su marciapiede, i km di piste promiscue bici/pedoni e le zone con moderazione di velocità a 20 e </w:t>
      </w:r>
      <w:smartTag w:uri="urn:schemas-microsoft-com:office:smarttags" w:element="metricconverter">
        <w:smartTagPr>
          <w:attr w:name="ProductID" w:val="30 km/h"/>
        </w:smartTagPr>
        <w:r w:rsidRPr="00A20895">
          <w:rPr>
            <w:rFonts w:ascii="Arial" w:hAnsi="Arial"/>
            <w:sz w:val="20"/>
            <w:szCs w:val="20"/>
          </w:rPr>
          <w:t>30 km/h</w:t>
        </w:r>
      </w:smartTag>
      <w:r w:rsidRPr="00A20895">
        <w:rPr>
          <w:rFonts w:ascii="Arial" w:hAnsi="Arial"/>
          <w:sz w:val="20"/>
          <w:szCs w:val="20"/>
        </w:rPr>
        <w:t>. Dal 2011 inoltre sono state richieste anche le piste nel verde (ovvero quei percorsi che non corrono lungo la carreggiata stradale, ad esempio nei parchi, lungo i fiumi, strade bianche, etc.) al fine di poter meglio distinguere le piste con un uso urbano e quotidiano da quelle ricreative. Queste informazioni, opportunamente pesate, hanno concorso a formare l’indice di “metri equivalenti” di percorsi ciclabili ogni 100 abitanti</w:t>
      </w:r>
      <w:r w:rsidRPr="00A20895">
        <w:rPr>
          <w:rStyle w:val="Rimandonotaapidipagina"/>
          <w:sz w:val="20"/>
          <w:szCs w:val="20"/>
        </w:rPr>
        <w:footnoteReference w:id="3"/>
      </w:r>
      <w:r w:rsidRPr="00A20895">
        <w:rPr>
          <w:rFonts w:ascii="Arial" w:hAnsi="Arial"/>
          <w:sz w:val="20"/>
          <w:szCs w:val="20"/>
        </w:rPr>
        <w:t xml:space="preserve">. </w:t>
      </w:r>
    </w:p>
    <w:p w:rsidR="00E36E2B" w:rsidRPr="00A20895" w:rsidRDefault="00E36E2B" w:rsidP="00E36E2B">
      <w:pPr>
        <w:jc w:val="both"/>
        <w:rPr>
          <w:rFonts w:ascii="Arial" w:hAnsi="Arial"/>
          <w:sz w:val="20"/>
          <w:szCs w:val="20"/>
        </w:rPr>
      </w:pPr>
      <w:r w:rsidRPr="00A20895">
        <w:rPr>
          <w:rFonts w:ascii="Arial" w:hAnsi="Arial"/>
          <w:sz w:val="20"/>
          <w:szCs w:val="20"/>
        </w:rPr>
        <w:t>Prima di procedere alla presentazione e al commento dei dati è opportuno fare tre precisazioni: i dati disponibili sono solamente in grado di misurare l’estensione dei percorsi ciclabili e non il grado di sicurezza, la funzionalità e la distribuzione all'interno della città; alcuni comuni, a causa della conformazione territoriale ed urbanistica, hanno maggiori difficoltà a realizzare piste ciclabili; le piste ciclabili non rappresentano l’unico strumento per favorire la mobilità ciclabile (per questo è stato introdotto l’indice sulla ciclabilità), ma sicuramente è oggettivo che l’assenza di piste ciclabili non favorisce l’uso della bicicletta.</w:t>
      </w:r>
    </w:p>
    <w:p w:rsidR="00E36E2B" w:rsidRPr="00A20895" w:rsidRDefault="00E36E2B" w:rsidP="00E36E2B">
      <w:pPr>
        <w:jc w:val="both"/>
        <w:rPr>
          <w:rFonts w:ascii="Arial" w:hAnsi="Arial"/>
          <w:sz w:val="20"/>
          <w:szCs w:val="20"/>
        </w:rPr>
      </w:pPr>
      <w:r w:rsidRPr="00A20895">
        <w:rPr>
          <w:rFonts w:ascii="Arial" w:hAnsi="Arial"/>
          <w:sz w:val="20"/>
          <w:szCs w:val="20"/>
        </w:rPr>
        <w:t xml:space="preserve">Tra le grandi città Padova, Venezia e, da quest’anno, Verona superano i </w:t>
      </w:r>
      <w:smartTag w:uri="urn:schemas-microsoft-com:office:smarttags" w:element="metricconverter">
        <w:smartTagPr>
          <w:attr w:name="ProductID" w:val="10 metri"/>
        </w:smartTagPr>
        <w:r w:rsidRPr="00A20895">
          <w:rPr>
            <w:rFonts w:ascii="Arial" w:hAnsi="Arial"/>
            <w:sz w:val="20"/>
            <w:szCs w:val="20"/>
          </w:rPr>
          <w:t>10 metri</w:t>
        </w:r>
      </w:smartTag>
      <w:r w:rsidRPr="00A20895">
        <w:rPr>
          <w:rFonts w:ascii="Arial" w:hAnsi="Arial"/>
          <w:sz w:val="20"/>
          <w:szCs w:val="20"/>
        </w:rPr>
        <w:t xml:space="preserve"> equivalenti ogni 100 abitanti mentre cinque (una in meno rispetto all’anno scorso) non raggiungono il valore di 1 m_eq/100 ab.</w:t>
      </w:r>
    </w:p>
    <w:p w:rsidR="00E36E2B" w:rsidRPr="00A20895" w:rsidRDefault="00E36E2B" w:rsidP="00E36E2B">
      <w:pPr>
        <w:jc w:val="both"/>
        <w:rPr>
          <w:rFonts w:ascii="Arial" w:hAnsi="Arial"/>
          <w:sz w:val="20"/>
          <w:szCs w:val="20"/>
        </w:rPr>
      </w:pPr>
      <w:r w:rsidRPr="00A20895">
        <w:rPr>
          <w:rFonts w:ascii="Arial" w:hAnsi="Arial"/>
          <w:sz w:val="20"/>
          <w:szCs w:val="20"/>
        </w:rPr>
        <w:t xml:space="preserve">Reggio Emilia registra il valore più alto tra le città di medie dimensioni, 38,02 m_eq/100 ab, incrementando l’indice di 4 mq_eq/100 ab. In generale sono 16 i capoluoghi di medie dimensioni che superano la soglia di 10 m_eq/100 ab (fra queste solo Alessandria si avvicina a quasi 20 m_eq/100 ab). Si registrano invece cinque comuni che non raggiungono  1 m_eq/100 ab (Salerno, Sassari, Cagliari, Reggio Calabria e Siracusa). </w:t>
      </w:r>
    </w:p>
    <w:p w:rsidR="00E36E2B" w:rsidRPr="00A20895" w:rsidRDefault="00E36E2B" w:rsidP="00E36E2B">
      <w:pPr>
        <w:jc w:val="both"/>
        <w:rPr>
          <w:rFonts w:ascii="Arial" w:hAnsi="Arial"/>
          <w:sz w:val="20"/>
          <w:szCs w:val="20"/>
        </w:rPr>
      </w:pPr>
      <w:r w:rsidRPr="00A20895">
        <w:rPr>
          <w:rFonts w:ascii="Arial" w:hAnsi="Arial"/>
          <w:sz w:val="20"/>
          <w:szCs w:val="20"/>
        </w:rPr>
        <w:t>Per quanto riguarda le città piccole, Mantova e Lodi si posizionano in cima alla classifica, con valori che sfiorano i 27 m_eq e al di sopra dei 20 m_eq si trovano anche Verbania (24,41 m_eq), Vercelli (21,84 m_eq) e Cremona (21,20 m_eq). Al contrario, le città che si collocano al di sotto della soglia di 10 m_eq/100 ab sono 33, fra cui 10 non raggiungono il valore di 1 m_eq/100 ab.</w:t>
      </w:r>
    </w:p>
    <w:p w:rsidR="00E36E2B" w:rsidRPr="00B57583" w:rsidRDefault="00E36E2B" w:rsidP="00E36E2B">
      <w:pPr>
        <w:jc w:val="both"/>
        <w:rPr>
          <w:rFonts w:ascii="Arial" w:hAnsi="Arial"/>
          <w:sz w:val="20"/>
          <w:szCs w:val="20"/>
        </w:rPr>
      </w:pPr>
      <w:r w:rsidRPr="00A20895">
        <w:rPr>
          <w:rFonts w:ascii="Arial" w:hAnsi="Arial"/>
          <w:sz w:val="20"/>
          <w:szCs w:val="20"/>
        </w:rPr>
        <w:t xml:space="preserve">I capoluoghi in cui sono state segnalate strade con moderazione di velocità (30 o </w:t>
      </w:r>
      <w:smartTag w:uri="urn:schemas-microsoft-com:office:smarttags" w:element="metricconverter">
        <w:smartTagPr>
          <w:attr w:name="ProductID" w:val="20 km/h"/>
        </w:smartTagPr>
        <w:r w:rsidRPr="00A20895">
          <w:rPr>
            <w:rFonts w:ascii="Arial" w:hAnsi="Arial"/>
            <w:sz w:val="20"/>
            <w:szCs w:val="20"/>
          </w:rPr>
          <w:t>20 km/h</w:t>
        </w:r>
      </w:smartTag>
      <w:r w:rsidRPr="00A20895">
        <w:rPr>
          <w:rFonts w:ascii="Arial" w:hAnsi="Arial"/>
          <w:sz w:val="20"/>
          <w:szCs w:val="20"/>
        </w:rPr>
        <w:t xml:space="preserve">) sono 48; mentre la lunghezza media di queste strade è di circa </w:t>
      </w:r>
      <w:smartTag w:uri="urn:schemas-microsoft-com:office:smarttags" w:element="metricconverter">
        <w:smartTagPr>
          <w:attr w:name="ProductID" w:val="10 km"/>
        </w:smartTagPr>
        <w:r w:rsidRPr="00A20895">
          <w:rPr>
            <w:rFonts w:ascii="Arial" w:hAnsi="Arial"/>
            <w:sz w:val="20"/>
            <w:szCs w:val="20"/>
          </w:rPr>
          <w:t>10 km</w:t>
        </w:r>
      </w:smartTag>
      <w:r w:rsidRPr="00A20895">
        <w:rPr>
          <w:rFonts w:ascii="Arial" w:hAnsi="Arial"/>
          <w:sz w:val="20"/>
          <w:szCs w:val="20"/>
        </w:rPr>
        <w:t xml:space="preserve">, con un valore massimo di 155 registrato a Verona, seguita da </w:t>
      </w:r>
      <w:smartTag w:uri="urn:schemas-microsoft-com:office:smarttags" w:element="metricconverter">
        <w:smartTagPr>
          <w:attr w:name="ProductID" w:val="116 a"/>
        </w:smartTagPr>
        <w:r w:rsidRPr="00A20895">
          <w:rPr>
            <w:rFonts w:ascii="Arial" w:hAnsi="Arial"/>
            <w:sz w:val="20"/>
            <w:szCs w:val="20"/>
          </w:rPr>
          <w:t>116 a</w:t>
        </w:r>
      </w:smartTag>
      <w:r w:rsidRPr="00A20895">
        <w:rPr>
          <w:rFonts w:ascii="Arial" w:hAnsi="Arial"/>
          <w:sz w:val="20"/>
          <w:szCs w:val="20"/>
        </w:rPr>
        <w:t xml:space="preserve"> Ravenna.</w:t>
      </w:r>
    </w:p>
    <w:p w:rsidR="00E36E2B" w:rsidRPr="00B57583" w:rsidRDefault="00E36E2B" w:rsidP="00E36E2B">
      <w:pPr>
        <w:jc w:val="both"/>
        <w:rPr>
          <w:rFonts w:ascii="Arial" w:hAnsi="Arial"/>
          <w:sz w:val="20"/>
          <w:szCs w:val="20"/>
        </w:rPr>
      </w:pPr>
      <w:r w:rsidRPr="00B57583">
        <w:rPr>
          <w:rFonts w:ascii="Arial" w:hAnsi="Arial"/>
          <w:sz w:val="20"/>
          <w:szCs w:val="20"/>
        </w:rPr>
        <w:lastRenderedPageBreak/>
        <w:t xml:space="preserve">Nonostante i miglioramenti degli ultimi anni, che esprimono un trend di crescita, le città italiane rimangono ancora indietro rispetto alle capitali europee: basti pensare che tre sole città europee (Helsinki con </w:t>
      </w:r>
      <w:smartTag w:uri="urn:schemas-microsoft-com:office:smarttags" w:element="metricconverter">
        <w:smartTagPr>
          <w:attr w:name="ProductID" w:val="1.500 km"/>
        </w:smartTagPr>
        <w:r w:rsidRPr="00B57583">
          <w:rPr>
            <w:rFonts w:ascii="Arial" w:hAnsi="Arial"/>
            <w:sz w:val="20"/>
            <w:szCs w:val="20"/>
          </w:rPr>
          <w:t>1.500 km</w:t>
        </w:r>
      </w:smartTag>
      <w:r w:rsidRPr="00B57583">
        <w:rPr>
          <w:rFonts w:ascii="Arial" w:hAnsi="Arial"/>
          <w:sz w:val="20"/>
          <w:szCs w:val="20"/>
        </w:rPr>
        <w:t xml:space="preserve">, Stoccolma e Hannover con 750 ciascuna) eguagliano i 104 capoluoghi italiani. </w:t>
      </w:r>
    </w:p>
    <w:p w:rsidR="00E804D0" w:rsidRDefault="00E804D0"/>
    <w:p w:rsidR="00AD2C2A" w:rsidRPr="000624BF" w:rsidRDefault="00AD2C2A" w:rsidP="00AD2C2A">
      <w:pPr>
        <w:numPr>
          <w:ilvl w:val="0"/>
          <w:numId w:val="22"/>
        </w:numPr>
        <w:jc w:val="both"/>
        <w:rPr>
          <w:rFonts w:ascii="Arial" w:hAnsi="Arial"/>
          <w:b/>
        </w:rPr>
      </w:pPr>
      <w:r w:rsidRPr="000624BF">
        <w:rPr>
          <w:rFonts w:ascii="Arial" w:hAnsi="Arial"/>
          <w:b/>
        </w:rPr>
        <w:t>Indice di ciclabilità</w:t>
      </w:r>
    </w:p>
    <w:p w:rsidR="00AD2C2A" w:rsidRPr="000624BF" w:rsidRDefault="00AD2C2A" w:rsidP="00AD2C2A">
      <w:pPr>
        <w:jc w:val="both"/>
        <w:rPr>
          <w:rFonts w:ascii="Arial" w:hAnsi="Arial"/>
          <w:i/>
        </w:rPr>
      </w:pPr>
      <w:r w:rsidRPr="000624BF">
        <w:rPr>
          <w:rFonts w:ascii="Arial" w:hAnsi="Arial"/>
          <w:i/>
        </w:rPr>
        <w:t>(Indice (massimo 100) composto da: biciplan, ufficio biciclette, cicloparcheggi di interscambio, bicistazione, sensi unici “eccetto bici”, bike-sharing; fonte: censimento Ecosistema Urbano XX)</w:t>
      </w:r>
    </w:p>
    <w:p w:rsidR="00AD2C2A" w:rsidRPr="000624BF" w:rsidRDefault="00AD2C2A" w:rsidP="00AD2C2A">
      <w:pPr>
        <w:jc w:val="both"/>
        <w:rPr>
          <w:rFonts w:ascii="Arial" w:hAnsi="Arial"/>
          <w:sz w:val="10"/>
          <w:szCs w:val="10"/>
        </w:rPr>
      </w:pPr>
    </w:p>
    <w:p w:rsidR="00AD2C2A" w:rsidRPr="000624BF" w:rsidRDefault="00AD2C2A" w:rsidP="00AD2C2A">
      <w:pPr>
        <w:jc w:val="both"/>
        <w:rPr>
          <w:rFonts w:ascii="Arial" w:hAnsi="Arial"/>
          <w:sz w:val="20"/>
          <w:szCs w:val="20"/>
        </w:rPr>
      </w:pPr>
      <w:r w:rsidRPr="000624BF">
        <w:rPr>
          <w:rFonts w:ascii="Arial" w:hAnsi="Arial"/>
          <w:sz w:val="20"/>
          <w:szCs w:val="20"/>
        </w:rPr>
        <w:t>L'indice sintetico di ciclabilità (con valori che vanno da 0 a 100) misura la capacità delle amministrazioni comunali di predisporre una serie di strumenti che favoriscano la mobilità ciclabile. Siamo infatti consapevoli che le piste ciclabili da sole non siano sufficienti a rendere una città “amica delle biciclette”.</w:t>
      </w:r>
    </w:p>
    <w:p w:rsidR="00AD2C2A" w:rsidRPr="000624BF" w:rsidRDefault="00AD2C2A" w:rsidP="00AD2C2A">
      <w:pPr>
        <w:jc w:val="both"/>
        <w:rPr>
          <w:rFonts w:ascii="Arial" w:hAnsi="Arial"/>
          <w:sz w:val="20"/>
          <w:szCs w:val="20"/>
        </w:rPr>
      </w:pPr>
      <w:r w:rsidRPr="000624BF">
        <w:rPr>
          <w:rFonts w:ascii="Arial" w:hAnsi="Arial"/>
          <w:sz w:val="20"/>
          <w:szCs w:val="20"/>
        </w:rPr>
        <w:t>I parametri considerati</w:t>
      </w:r>
      <w:r w:rsidRPr="000624BF">
        <w:rPr>
          <w:rStyle w:val="Rimandonotaapidipagina"/>
          <w:sz w:val="20"/>
          <w:szCs w:val="20"/>
        </w:rPr>
        <w:footnoteReference w:id="4"/>
      </w:r>
      <w:r w:rsidRPr="000624BF">
        <w:rPr>
          <w:rFonts w:ascii="Arial" w:hAnsi="Arial"/>
          <w:sz w:val="20"/>
          <w:szCs w:val="20"/>
        </w:rPr>
        <w:t xml:space="preserve"> sono: </w:t>
      </w:r>
    </w:p>
    <w:p w:rsidR="00AD2C2A" w:rsidRPr="000624BF" w:rsidRDefault="00AD2C2A" w:rsidP="00AD2C2A">
      <w:pPr>
        <w:numPr>
          <w:ilvl w:val="0"/>
          <w:numId w:val="2"/>
        </w:numPr>
        <w:jc w:val="both"/>
        <w:rPr>
          <w:rFonts w:ascii="Arial" w:hAnsi="Arial"/>
          <w:sz w:val="20"/>
          <w:szCs w:val="20"/>
        </w:rPr>
      </w:pPr>
      <w:r w:rsidRPr="000624BF">
        <w:rPr>
          <w:rFonts w:ascii="Arial" w:hAnsi="Arial"/>
          <w:sz w:val="20"/>
          <w:szCs w:val="20"/>
        </w:rPr>
        <w:t>ufficio biciclette;</w:t>
      </w:r>
    </w:p>
    <w:p w:rsidR="00AD2C2A" w:rsidRPr="000624BF" w:rsidRDefault="00AD2C2A" w:rsidP="00AD2C2A">
      <w:pPr>
        <w:numPr>
          <w:ilvl w:val="0"/>
          <w:numId w:val="2"/>
        </w:numPr>
        <w:jc w:val="both"/>
        <w:rPr>
          <w:rFonts w:ascii="Arial" w:hAnsi="Arial"/>
          <w:sz w:val="20"/>
          <w:szCs w:val="20"/>
        </w:rPr>
      </w:pPr>
      <w:r w:rsidRPr="000624BF">
        <w:rPr>
          <w:rFonts w:ascii="Arial" w:hAnsi="Arial"/>
          <w:sz w:val="20"/>
          <w:szCs w:val="20"/>
        </w:rPr>
        <w:t>presenza di Biciplan – Piano per la mobilità ciclabile;</w:t>
      </w:r>
    </w:p>
    <w:p w:rsidR="00AD2C2A" w:rsidRPr="000624BF" w:rsidRDefault="00AD2C2A" w:rsidP="00AD2C2A">
      <w:pPr>
        <w:numPr>
          <w:ilvl w:val="0"/>
          <w:numId w:val="2"/>
        </w:numPr>
        <w:jc w:val="both"/>
        <w:rPr>
          <w:rFonts w:ascii="Arial" w:hAnsi="Arial"/>
          <w:sz w:val="20"/>
          <w:szCs w:val="20"/>
        </w:rPr>
      </w:pPr>
      <w:r w:rsidRPr="000624BF">
        <w:rPr>
          <w:rFonts w:ascii="Arial" w:hAnsi="Arial"/>
          <w:sz w:val="20"/>
          <w:szCs w:val="20"/>
        </w:rPr>
        <w:t xml:space="preserve">cicloparcheggi di interscambio; </w:t>
      </w:r>
    </w:p>
    <w:p w:rsidR="00AD2C2A" w:rsidRPr="000624BF" w:rsidRDefault="00AD2C2A" w:rsidP="00AD2C2A">
      <w:pPr>
        <w:numPr>
          <w:ilvl w:val="0"/>
          <w:numId w:val="2"/>
        </w:numPr>
        <w:jc w:val="both"/>
        <w:rPr>
          <w:rFonts w:ascii="Arial" w:hAnsi="Arial"/>
          <w:sz w:val="20"/>
          <w:szCs w:val="20"/>
        </w:rPr>
      </w:pPr>
      <w:r w:rsidRPr="000624BF">
        <w:rPr>
          <w:rFonts w:ascii="Arial" w:hAnsi="Arial"/>
          <w:sz w:val="20"/>
          <w:szCs w:val="20"/>
        </w:rPr>
        <w:t>bicistazione;</w:t>
      </w:r>
    </w:p>
    <w:p w:rsidR="00AD2C2A" w:rsidRPr="000624BF" w:rsidRDefault="00AD2C2A" w:rsidP="00AD2C2A">
      <w:pPr>
        <w:numPr>
          <w:ilvl w:val="0"/>
          <w:numId w:val="2"/>
        </w:numPr>
        <w:jc w:val="both"/>
        <w:rPr>
          <w:rFonts w:ascii="Arial" w:hAnsi="Arial"/>
          <w:sz w:val="20"/>
          <w:szCs w:val="20"/>
        </w:rPr>
      </w:pPr>
      <w:r w:rsidRPr="000624BF">
        <w:rPr>
          <w:rFonts w:ascii="Arial" w:hAnsi="Arial"/>
          <w:sz w:val="20"/>
          <w:szCs w:val="20"/>
        </w:rPr>
        <w:t xml:space="preserve">sensi unici “eccetto bici”; </w:t>
      </w:r>
    </w:p>
    <w:p w:rsidR="00AD2C2A" w:rsidRPr="000624BF" w:rsidRDefault="00AD2C2A" w:rsidP="00AD2C2A">
      <w:pPr>
        <w:numPr>
          <w:ilvl w:val="0"/>
          <w:numId w:val="2"/>
        </w:numPr>
        <w:jc w:val="both"/>
        <w:rPr>
          <w:rFonts w:ascii="Arial" w:hAnsi="Arial"/>
          <w:sz w:val="20"/>
          <w:szCs w:val="20"/>
        </w:rPr>
      </w:pPr>
      <w:r w:rsidRPr="000624BF">
        <w:rPr>
          <w:rFonts w:ascii="Arial" w:hAnsi="Arial"/>
          <w:sz w:val="20"/>
          <w:szCs w:val="20"/>
        </w:rPr>
        <w:t>bike-sharing.</w:t>
      </w:r>
    </w:p>
    <w:p w:rsidR="00AD2C2A" w:rsidRPr="000624BF" w:rsidRDefault="00AD2C2A" w:rsidP="00AD2C2A">
      <w:pPr>
        <w:jc w:val="both"/>
        <w:rPr>
          <w:rFonts w:ascii="Arial" w:hAnsi="Arial"/>
          <w:sz w:val="20"/>
          <w:szCs w:val="20"/>
        </w:rPr>
      </w:pPr>
    </w:p>
    <w:p w:rsidR="00AD2C2A" w:rsidRPr="000624BF" w:rsidRDefault="00AD2C2A" w:rsidP="00AD2C2A">
      <w:pPr>
        <w:jc w:val="both"/>
        <w:rPr>
          <w:rFonts w:ascii="Arial" w:hAnsi="Arial"/>
          <w:sz w:val="20"/>
          <w:szCs w:val="20"/>
        </w:rPr>
      </w:pPr>
      <w:r w:rsidRPr="000624BF">
        <w:rPr>
          <w:rFonts w:ascii="Arial" w:hAnsi="Arial"/>
          <w:sz w:val="20"/>
          <w:szCs w:val="20"/>
        </w:rPr>
        <w:t xml:space="preserve">In base alla presenza o assenza dei parametri considerati (e ai differenti pesi ad essi attribuiti) ogni città ottiene un punteggio normalizzato variabile da 0 a 100. </w:t>
      </w:r>
    </w:p>
    <w:p w:rsidR="00AD2C2A" w:rsidRPr="000624BF" w:rsidRDefault="00AD2C2A" w:rsidP="00AD2C2A">
      <w:pPr>
        <w:jc w:val="both"/>
        <w:rPr>
          <w:rFonts w:ascii="Arial" w:hAnsi="Arial"/>
          <w:sz w:val="20"/>
          <w:szCs w:val="20"/>
        </w:rPr>
      </w:pPr>
      <w:r w:rsidRPr="000624BF">
        <w:rPr>
          <w:rFonts w:ascii="Arial" w:hAnsi="Arial"/>
          <w:sz w:val="20"/>
          <w:szCs w:val="20"/>
        </w:rPr>
        <w:t>Per il bike-sharing, inoltre, è considerata non solo l’attivazione del servizio, ma si è anche cercato di misurarne l’efficacia attraverso il numero di prelievi (in rapporto al numero di residenti). Anche per i cicloparcheggi di interscambio viene valutato non solo la presenza di questo servizio ma anche il numero di posti bici disponibili (sempre in rapporto al numero di residenti).</w:t>
      </w:r>
    </w:p>
    <w:p w:rsidR="00AD2C2A" w:rsidRPr="000624BF" w:rsidRDefault="00AD2C2A" w:rsidP="00AD2C2A">
      <w:pPr>
        <w:jc w:val="both"/>
        <w:rPr>
          <w:rFonts w:ascii="Arial" w:hAnsi="Arial"/>
          <w:sz w:val="20"/>
          <w:szCs w:val="20"/>
        </w:rPr>
      </w:pPr>
      <w:r w:rsidRPr="000624BF">
        <w:rPr>
          <w:rFonts w:ascii="Arial" w:hAnsi="Arial"/>
          <w:sz w:val="20"/>
          <w:szCs w:val="20"/>
        </w:rPr>
        <w:t>Fra le città grandi, raggiunge un punteggio maggiore di 70 solo Venezia (con 77,46), seguita da Bologna (69,73), Milano e Padova (entrambe con 67,75), mentre quattro città non raggiungono quota 30 (Genova, Palermo, Trieste e Catania).</w:t>
      </w:r>
    </w:p>
    <w:p w:rsidR="00AD2C2A" w:rsidRPr="000624BF" w:rsidRDefault="00AD2C2A" w:rsidP="00AD2C2A">
      <w:pPr>
        <w:jc w:val="both"/>
        <w:rPr>
          <w:rFonts w:ascii="Arial" w:hAnsi="Arial"/>
          <w:sz w:val="20"/>
          <w:szCs w:val="20"/>
        </w:rPr>
      </w:pPr>
      <w:r w:rsidRPr="000624BF">
        <w:rPr>
          <w:rFonts w:ascii="Arial" w:hAnsi="Arial"/>
          <w:sz w:val="20"/>
          <w:szCs w:val="20"/>
        </w:rPr>
        <w:t>Per quanto riguarda le città di medie dimensioni, Treviso e Reggio Emilia ottengono 82 punti, a seguire troviamo Ferrara, Brescia, Bolzano e Udine con punteggi superori a 70. In fondo alla classifica, invece, troviamo ancora cinque comuni (Catanzaro, Lucca, Reggio Calabria, Salerno e Sassari) con 0 punti. Pordenone, Cremona e Lodi sono le sole, tra i piccoli capoluoghi, a superare i 50 punti e, al contrario, 12 città non sono ferme a 0 punti.</w:t>
      </w:r>
    </w:p>
    <w:p w:rsidR="00AD2C2A" w:rsidRPr="000624BF" w:rsidRDefault="00AD2C2A" w:rsidP="00AD2C2A">
      <w:pPr>
        <w:jc w:val="both"/>
        <w:rPr>
          <w:rFonts w:ascii="Arial" w:hAnsi="Arial"/>
          <w:sz w:val="20"/>
          <w:szCs w:val="20"/>
        </w:rPr>
      </w:pPr>
      <w:r w:rsidRPr="000624BF">
        <w:rPr>
          <w:rFonts w:ascii="Arial" w:hAnsi="Arial"/>
          <w:sz w:val="20"/>
          <w:szCs w:val="20"/>
        </w:rPr>
        <w:t>Considerando, poi, i diversi parametri che compongono l’indicatore di ciclabilità, si evince che 27 città si sono dotate di biciplan; in 33 è presente un ufficio biciclette; in 40 ci sono dei cicloparcheggi di interscambio; in 12 sono presenti bicistazioni; in 12 ci sono dei sensi unici “eccetto bici”, in particolare si segnala Reggio Emilia, che vanta 194 strade di questo genere.</w:t>
      </w:r>
    </w:p>
    <w:p w:rsidR="00AD2C2A" w:rsidRPr="000624BF" w:rsidRDefault="00AD2C2A" w:rsidP="00AD2C2A">
      <w:pPr>
        <w:jc w:val="both"/>
        <w:rPr>
          <w:rFonts w:ascii="Arial" w:hAnsi="Arial"/>
          <w:sz w:val="20"/>
          <w:szCs w:val="20"/>
        </w:rPr>
      </w:pPr>
      <w:r w:rsidRPr="000624BF">
        <w:rPr>
          <w:rFonts w:ascii="Arial" w:hAnsi="Arial"/>
          <w:sz w:val="20"/>
          <w:szCs w:val="20"/>
        </w:rPr>
        <w:t>Infine il bike-sharing, che negli ultimi anni si è caratterizzato come un servizio in rapida diffusione, si riconferma tale anche in questa edizione: è infatti presente in 52 capoluoghi di provincia. Per il bike-sharing la principale differenza è rappresentata dal sistema di prelievo: il sistema meccanico è utilizzato in 21 città, quello elettronico in 32 (Vercelli possiede entrambi i sistemi). Il numero di prelievi</w:t>
      </w:r>
      <w:r w:rsidRPr="000624BF">
        <w:rPr>
          <w:rStyle w:val="Rimandonotaapidipagina"/>
          <w:sz w:val="20"/>
          <w:szCs w:val="20"/>
        </w:rPr>
        <w:footnoteReference w:id="5"/>
      </w:r>
      <w:r w:rsidRPr="000624BF">
        <w:rPr>
          <w:rFonts w:ascii="Arial" w:hAnsi="Arial"/>
          <w:sz w:val="20"/>
          <w:szCs w:val="20"/>
        </w:rPr>
        <w:t xml:space="preserve"> delle biciclette rappresenta l’indicatore migliore per verificare l’utilizzo di questo servizio: dai dati emerge che le città con il maggior numero di prelievi sono Milano con 1.426.724 (un dato molto rilevante e pari a più di 1.130 prelievi ogni 1.000 abitanti) e Torino con 1.387.633 prelievi, che in rapporto al numero di abitanti supera addirittura Milano (sono infatti 1.591 prelievi ogni 1.000 abitanti). Terza, con un notevole distacco in termini di prelievi assoluti, è Brescia con 370.000 prelievi che però in rapporto al numero di abitanti è invece largamente prima con quasi 2.000 prelievi ogni 1.000 abitanti. Interessante anche notare il forte incremento di prelievi che fanno registrare queste città: rispetto al 2011, Brescia cresce addirittura del 118% (da 170.000 prelievi a 370.000), Torino del 57% (da circa 880.000 a quasi 1.390.000) e Milano del 32%  (da poco meno di 1.100.000 a oltre 1.400.000).</w:t>
      </w:r>
    </w:p>
    <w:p w:rsidR="00AD2C2A" w:rsidRPr="000624BF" w:rsidRDefault="00AD2C2A" w:rsidP="00AD2C2A"/>
    <w:p w:rsidR="00AD2C2A" w:rsidRPr="000624BF" w:rsidRDefault="00AD2C2A" w:rsidP="00AD2C2A"/>
    <w:p w:rsidR="00AD2C2A" w:rsidRPr="000624BF" w:rsidRDefault="00AD2C2A" w:rsidP="00AD2C2A">
      <w:pPr>
        <w:numPr>
          <w:ilvl w:val="0"/>
          <w:numId w:val="22"/>
        </w:numPr>
        <w:jc w:val="both"/>
        <w:rPr>
          <w:rFonts w:ascii="Arial" w:hAnsi="Arial"/>
          <w:b/>
        </w:rPr>
      </w:pPr>
      <w:r w:rsidRPr="000624BF">
        <w:rPr>
          <w:rFonts w:ascii="Arial" w:hAnsi="Arial"/>
          <w:b/>
        </w:rPr>
        <w:t xml:space="preserve"> Verde urbano fruibile</w:t>
      </w:r>
    </w:p>
    <w:p w:rsidR="00AD2C2A" w:rsidRPr="000624BF" w:rsidRDefault="00AD2C2A" w:rsidP="00AD2C2A">
      <w:pPr>
        <w:jc w:val="both"/>
        <w:rPr>
          <w:rFonts w:ascii="Arial" w:hAnsi="Arial"/>
          <w:i/>
        </w:rPr>
      </w:pPr>
      <w:r w:rsidRPr="000624BF">
        <w:rPr>
          <w:rFonts w:ascii="Arial" w:hAnsi="Arial"/>
          <w:i/>
        </w:rPr>
        <w:t>(Estensione pro capite di verde fruibile in area urbana (mq/ab); fonte: ISTAT "Verde urbano" 2011)</w:t>
      </w:r>
    </w:p>
    <w:p w:rsidR="00AD2C2A" w:rsidRPr="000624BF" w:rsidRDefault="00AD2C2A" w:rsidP="00AD2C2A">
      <w:pPr>
        <w:jc w:val="both"/>
        <w:rPr>
          <w:rFonts w:ascii="Arial" w:hAnsi="Arial"/>
          <w:sz w:val="10"/>
          <w:szCs w:val="10"/>
        </w:rPr>
      </w:pPr>
    </w:p>
    <w:p w:rsidR="00AD2C2A" w:rsidRPr="000624BF" w:rsidRDefault="00AD2C2A" w:rsidP="00AD2C2A">
      <w:pPr>
        <w:jc w:val="both"/>
        <w:rPr>
          <w:rFonts w:ascii="Arial" w:hAnsi="Arial"/>
          <w:sz w:val="20"/>
          <w:szCs w:val="20"/>
        </w:rPr>
      </w:pPr>
      <w:r w:rsidRPr="000624BF">
        <w:rPr>
          <w:rFonts w:ascii="Arial" w:hAnsi="Arial"/>
          <w:sz w:val="20"/>
          <w:szCs w:val="20"/>
        </w:rPr>
        <w:t>Come anticipato nell’introduzione, a partire dallo scorso edizione, Istat e Legambiente hanno unificato il questionario sul verde. Quest’anno, per la prima volta, i dati sono disponibili e sono stati utilizzati per calcolare i due indici sul verde. Va quindi specificato che l’utilizzo di una nuova fonte dati (Istat) può aver comportato significativi scostamenti rispetto ai dati storici di Ecosistema Urbano. Pertanto risulta evidentemente impossibile confrontare tali dati con quelli delle passate edizioni. Inoltre, per meglio rappresentare le diverse tipologie di verde presenti in ambito urbano, in questa edizione di Ecosistema Urbano è stata parzialmente rivista la classificazione del verde, che quindi si articola in: verde storico (che comprende ville, giardini e parchi di particolare pregio), verde attrezzato, orti botanici, orti urbani, cimiteri e aree sportive all’aperto.</w:t>
      </w:r>
    </w:p>
    <w:p w:rsidR="00AD2C2A" w:rsidRPr="000624BF" w:rsidRDefault="00AD2C2A" w:rsidP="00AD2C2A">
      <w:pPr>
        <w:jc w:val="both"/>
        <w:rPr>
          <w:rFonts w:ascii="Arial" w:hAnsi="Arial"/>
          <w:sz w:val="20"/>
          <w:szCs w:val="20"/>
        </w:rPr>
      </w:pPr>
      <w:r w:rsidRPr="000624BF">
        <w:rPr>
          <w:rFonts w:ascii="Arial" w:hAnsi="Arial"/>
          <w:sz w:val="20"/>
          <w:szCs w:val="20"/>
        </w:rPr>
        <w:t xml:space="preserve">Le città italiane, indifferentemente dalle dimensioni, presentano una superficie di verde fruibile media per abitante superiore ai </w:t>
      </w:r>
      <w:smartTag w:uri="urn:schemas-microsoft-com:office:smarttags" w:element="metricconverter">
        <w:smartTagPr>
          <w:attr w:name="ProductID" w:val="15 m2"/>
        </w:smartTagPr>
        <w:r w:rsidRPr="000624BF">
          <w:rPr>
            <w:rFonts w:ascii="Arial" w:hAnsi="Arial"/>
            <w:sz w:val="20"/>
            <w:szCs w:val="20"/>
          </w:rPr>
          <w:t>15 m</w:t>
        </w:r>
        <w:r w:rsidRPr="000624BF">
          <w:rPr>
            <w:rFonts w:ascii="Arial" w:hAnsi="Arial"/>
            <w:sz w:val="20"/>
            <w:szCs w:val="20"/>
            <w:vertAlign w:val="superscript"/>
          </w:rPr>
          <w:t>2</w:t>
        </w:r>
      </w:smartTag>
      <w:r w:rsidRPr="000624BF">
        <w:rPr>
          <w:rFonts w:ascii="Arial" w:hAnsi="Arial"/>
          <w:sz w:val="20"/>
          <w:szCs w:val="20"/>
        </w:rPr>
        <w:t xml:space="preserve">, ma in 14 comuni questa superficie è inferiore a </w:t>
      </w:r>
      <w:smartTag w:uri="urn:schemas-microsoft-com:office:smarttags" w:element="metricconverter">
        <w:smartTagPr>
          <w:attr w:name="ProductID" w:val="5 m2"/>
        </w:smartTagPr>
        <w:r w:rsidRPr="000624BF">
          <w:rPr>
            <w:rFonts w:ascii="Arial" w:hAnsi="Arial"/>
            <w:sz w:val="20"/>
            <w:szCs w:val="20"/>
          </w:rPr>
          <w:t>5 m</w:t>
        </w:r>
        <w:r w:rsidRPr="000624BF">
          <w:rPr>
            <w:rFonts w:ascii="Arial" w:hAnsi="Arial"/>
            <w:sz w:val="20"/>
            <w:szCs w:val="20"/>
            <w:vertAlign w:val="superscript"/>
          </w:rPr>
          <w:t>2</w:t>
        </w:r>
      </w:smartTag>
      <w:r w:rsidRPr="000624BF">
        <w:rPr>
          <w:rFonts w:ascii="Arial" w:hAnsi="Arial"/>
          <w:sz w:val="20"/>
          <w:szCs w:val="20"/>
        </w:rPr>
        <w:t>. Nuoro, città piccola. presenta il valore massimo di 63,94 m</w:t>
      </w:r>
      <w:r w:rsidRPr="000624BF">
        <w:rPr>
          <w:rFonts w:ascii="Arial" w:hAnsi="Arial"/>
          <w:sz w:val="20"/>
          <w:szCs w:val="20"/>
          <w:vertAlign w:val="superscript"/>
        </w:rPr>
        <w:t>2</w:t>
      </w:r>
      <w:r w:rsidRPr="000624BF">
        <w:rPr>
          <w:rFonts w:ascii="Arial" w:hAnsi="Arial"/>
          <w:sz w:val="20"/>
          <w:szCs w:val="20"/>
        </w:rPr>
        <w:t>/ab, seguita da Monza (59,64 m</w:t>
      </w:r>
      <w:r w:rsidRPr="000624BF">
        <w:rPr>
          <w:rFonts w:ascii="Arial" w:hAnsi="Arial"/>
          <w:sz w:val="20"/>
          <w:szCs w:val="20"/>
          <w:vertAlign w:val="superscript"/>
        </w:rPr>
        <w:t>2</w:t>
      </w:r>
      <w:r w:rsidRPr="000624BF">
        <w:rPr>
          <w:rFonts w:ascii="Arial" w:hAnsi="Arial"/>
          <w:sz w:val="20"/>
          <w:szCs w:val="20"/>
        </w:rPr>
        <w:t>/ab), città media, e da altre 23 città al di sopra dei 20 m</w:t>
      </w:r>
      <w:r w:rsidRPr="000624BF">
        <w:rPr>
          <w:rFonts w:ascii="Arial" w:hAnsi="Arial"/>
          <w:sz w:val="20"/>
          <w:szCs w:val="20"/>
          <w:vertAlign w:val="superscript"/>
        </w:rPr>
        <w:t>2</w:t>
      </w:r>
      <w:r w:rsidRPr="000624BF">
        <w:rPr>
          <w:rFonts w:ascii="Arial" w:hAnsi="Arial"/>
          <w:sz w:val="20"/>
          <w:szCs w:val="20"/>
        </w:rPr>
        <w:t>/ab. Fra i capoluoghi che superano i 40 m</w:t>
      </w:r>
      <w:r w:rsidRPr="000624BF">
        <w:rPr>
          <w:rFonts w:ascii="Arial" w:hAnsi="Arial"/>
          <w:sz w:val="20"/>
          <w:szCs w:val="20"/>
          <w:vertAlign w:val="superscript"/>
        </w:rPr>
        <w:t>2</w:t>
      </w:r>
      <w:r w:rsidRPr="000624BF">
        <w:rPr>
          <w:rFonts w:ascii="Arial" w:hAnsi="Arial"/>
          <w:sz w:val="20"/>
          <w:szCs w:val="20"/>
        </w:rPr>
        <w:t>/ab si trovano anche Pordenone, per le città piccole, e Lucca, per le città di medie dimensioni, (rispettivamente con 53,69 e 43,3 m</w:t>
      </w:r>
      <w:r w:rsidRPr="000624BF">
        <w:rPr>
          <w:rFonts w:ascii="Arial" w:hAnsi="Arial"/>
          <w:sz w:val="20"/>
          <w:szCs w:val="20"/>
          <w:vertAlign w:val="superscript"/>
        </w:rPr>
        <w:t>2</w:t>
      </w:r>
      <w:r w:rsidRPr="000624BF">
        <w:rPr>
          <w:rFonts w:ascii="Arial" w:hAnsi="Arial"/>
          <w:sz w:val="20"/>
          <w:szCs w:val="20"/>
        </w:rPr>
        <w:t>/ab), seguite da Prato, Catanzaro, Oristano, Gorizia e Sondrio, tutte al di sopra dei 30 m</w:t>
      </w:r>
      <w:r w:rsidRPr="000624BF">
        <w:rPr>
          <w:rFonts w:ascii="Arial" w:hAnsi="Arial"/>
          <w:sz w:val="20"/>
          <w:szCs w:val="20"/>
          <w:vertAlign w:val="superscript"/>
        </w:rPr>
        <w:t>2</w:t>
      </w:r>
      <w:r w:rsidRPr="000624BF">
        <w:rPr>
          <w:rFonts w:ascii="Arial" w:hAnsi="Arial"/>
          <w:sz w:val="20"/>
          <w:szCs w:val="20"/>
        </w:rPr>
        <w:t>/ab.</w:t>
      </w:r>
    </w:p>
    <w:p w:rsidR="00AD2C2A" w:rsidRPr="000624BF" w:rsidRDefault="00AD2C2A" w:rsidP="00AD2C2A">
      <w:pPr>
        <w:jc w:val="both"/>
        <w:rPr>
          <w:rFonts w:ascii="Arial" w:hAnsi="Arial"/>
          <w:sz w:val="20"/>
          <w:szCs w:val="20"/>
        </w:rPr>
      </w:pPr>
      <w:r w:rsidRPr="000624BF">
        <w:rPr>
          <w:rFonts w:ascii="Arial" w:hAnsi="Arial"/>
          <w:sz w:val="20"/>
          <w:szCs w:val="20"/>
        </w:rPr>
        <w:t>Fra le grandi città tre superano il valore di 20 m</w:t>
      </w:r>
      <w:r w:rsidRPr="000624BF">
        <w:rPr>
          <w:rFonts w:ascii="Arial" w:hAnsi="Arial"/>
          <w:sz w:val="20"/>
          <w:szCs w:val="20"/>
          <w:vertAlign w:val="superscript"/>
        </w:rPr>
        <w:t>2</w:t>
      </w:r>
      <w:r w:rsidRPr="000624BF">
        <w:rPr>
          <w:rFonts w:ascii="Arial" w:hAnsi="Arial"/>
          <w:sz w:val="20"/>
          <w:szCs w:val="20"/>
        </w:rPr>
        <w:t>/ab: Verona in testa alla classifica con 25,27 m</w:t>
      </w:r>
      <w:r w:rsidRPr="000624BF">
        <w:rPr>
          <w:rFonts w:ascii="Arial" w:hAnsi="Arial"/>
          <w:sz w:val="20"/>
          <w:szCs w:val="20"/>
          <w:vertAlign w:val="superscript"/>
        </w:rPr>
        <w:t>2</w:t>
      </w:r>
      <w:r w:rsidRPr="000624BF">
        <w:rPr>
          <w:rFonts w:ascii="Arial" w:hAnsi="Arial"/>
          <w:sz w:val="20"/>
          <w:szCs w:val="20"/>
        </w:rPr>
        <w:t>/ab, Bologna con 22,54 m</w:t>
      </w:r>
      <w:r w:rsidRPr="000624BF">
        <w:rPr>
          <w:rFonts w:ascii="Arial" w:hAnsi="Arial"/>
          <w:sz w:val="20"/>
          <w:szCs w:val="20"/>
          <w:vertAlign w:val="superscript"/>
        </w:rPr>
        <w:t>2</w:t>
      </w:r>
      <w:r w:rsidRPr="000624BF">
        <w:rPr>
          <w:rFonts w:ascii="Arial" w:hAnsi="Arial"/>
          <w:sz w:val="20"/>
          <w:szCs w:val="20"/>
        </w:rPr>
        <w:t>/ab e Venezia con 22,56 m</w:t>
      </w:r>
      <w:r w:rsidRPr="000624BF">
        <w:rPr>
          <w:rFonts w:ascii="Arial" w:hAnsi="Arial"/>
          <w:sz w:val="20"/>
          <w:szCs w:val="20"/>
          <w:vertAlign w:val="superscript"/>
        </w:rPr>
        <w:t>2</w:t>
      </w:r>
      <w:r w:rsidRPr="000624BF">
        <w:rPr>
          <w:rFonts w:ascii="Arial" w:hAnsi="Arial"/>
          <w:sz w:val="20"/>
          <w:szCs w:val="20"/>
        </w:rPr>
        <w:t>/ab.</w:t>
      </w:r>
    </w:p>
    <w:p w:rsidR="00AD2C2A" w:rsidRPr="000624BF" w:rsidRDefault="00AD2C2A" w:rsidP="00AD2C2A">
      <w:pPr>
        <w:jc w:val="both"/>
        <w:rPr>
          <w:rFonts w:ascii="Arial" w:hAnsi="Arial"/>
        </w:rPr>
      </w:pPr>
    </w:p>
    <w:p w:rsidR="00AD2C2A" w:rsidRPr="000624BF" w:rsidRDefault="00AD2C2A" w:rsidP="00AD2C2A">
      <w:pPr>
        <w:jc w:val="both"/>
        <w:rPr>
          <w:rFonts w:ascii="Arial" w:hAnsi="Arial"/>
        </w:rPr>
      </w:pPr>
    </w:p>
    <w:p w:rsidR="00AD2C2A" w:rsidRPr="000624BF" w:rsidRDefault="00AD2C2A" w:rsidP="00AD2C2A">
      <w:pPr>
        <w:numPr>
          <w:ilvl w:val="0"/>
          <w:numId w:val="22"/>
        </w:numPr>
        <w:jc w:val="both"/>
        <w:rPr>
          <w:rFonts w:ascii="Arial" w:hAnsi="Arial"/>
          <w:b/>
        </w:rPr>
      </w:pPr>
      <w:r w:rsidRPr="000624BF">
        <w:rPr>
          <w:rFonts w:ascii="Arial" w:hAnsi="Arial"/>
          <w:b/>
        </w:rPr>
        <w:t>Aree verdi totali</w:t>
      </w:r>
    </w:p>
    <w:p w:rsidR="00AD2C2A" w:rsidRPr="000624BF" w:rsidRDefault="00AD2C2A" w:rsidP="00AD2C2A">
      <w:pPr>
        <w:jc w:val="both"/>
        <w:rPr>
          <w:rFonts w:ascii="Arial" w:hAnsi="Arial"/>
          <w:i/>
        </w:rPr>
      </w:pPr>
      <w:r w:rsidRPr="000624BF">
        <w:rPr>
          <w:rFonts w:ascii="Arial" w:hAnsi="Arial"/>
          <w:i/>
        </w:rPr>
        <w:t xml:space="preserve"> (Superficie delle differenti aree verdi sul totale della superficie comunale (mq/ha); fonte: : ISTAT "Verde urbano" 2011)</w:t>
      </w:r>
    </w:p>
    <w:p w:rsidR="00AD2C2A" w:rsidRPr="000624BF" w:rsidRDefault="00AD2C2A" w:rsidP="00AD2C2A">
      <w:pPr>
        <w:jc w:val="both"/>
        <w:rPr>
          <w:sz w:val="20"/>
          <w:szCs w:val="20"/>
        </w:rPr>
      </w:pPr>
      <w:r w:rsidRPr="000624BF">
        <w:t xml:space="preserve">          </w:t>
      </w:r>
    </w:p>
    <w:p w:rsidR="00AD2C2A" w:rsidRPr="000624BF" w:rsidRDefault="00AD2C2A" w:rsidP="00AD2C2A">
      <w:pPr>
        <w:jc w:val="both"/>
        <w:rPr>
          <w:rFonts w:ascii="Arial" w:hAnsi="Arial"/>
          <w:sz w:val="20"/>
          <w:szCs w:val="20"/>
        </w:rPr>
      </w:pPr>
      <w:r w:rsidRPr="000624BF">
        <w:rPr>
          <w:rFonts w:ascii="Arial" w:hAnsi="Arial"/>
          <w:sz w:val="20"/>
          <w:szCs w:val="20"/>
        </w:rPr>
        <w:t xml:space="preserve">Analogamente a quanto effettuato per il calcolo dell’indice </w:t>
      </w:r>
      <w:r w:rsidRPr="000624BF">
        <w:rPr>
          <w:rFonts w:ascii="Arial" w:hAnsi="Arial"/>
          <w:i/>
          <w:sz w:val="20"/>
          <w:szCs w:val="20"/>
        </w:rPr>
        <w:t>Verde urbano fruibile</w:t>
      </w:r>
      <w:r w:rsidRPr="000624BF">
        <w:rPr>
          <w:rFonts w:ascii="Arial" w:hAnsi="Arial"/>
          <w:sz w:val="20"/>
          <w:szCs w:val="20"/>
        </w:rPr>
        <w:t>, per misurare la quantità di aree verdi totali presenti in ciascun capoluogo d’Italia, si è presa come fonte dei dati l’elaborazione di Istat riferita all’anno 2011.</w:t>
      </w:r>
    </w:p>
    <w:p w:rsidR="00AD2C2A" w:rsidRPr="000624BF" w:rsidRDefault="00AD2C2A" w:rsidP="00AD2C2A">
      <w:pPr>
        <w:jc w:val="both"/>
        <w:rPr>
          <w:rFonts w:ascii="Arial" w:hAnsi="Arial"/>
          <w:sz w:val="20"/>
          <w:szCs w:val="20"/>
        </w:rPr>
      </w:pPr>
      <w:r w:rsidRPr="000624BF">
        <w:rPr>
          <w:rFonts w:ascii="Arial" w:hAnsi="Arial"/>
          <w:sz w:val="20"/>
          <w:szCs w:val="20"/>
        </w:rPr>
        <w:t xml:space="preserve">L’indicatore prende in considerazione l’estensione della superficie delle diverse tipologie di aree verdi presenti sul territorio (verde storico, ville, giardini, parchi di particolare pregio, verde attrezzato, arredo urbano, forestazione urbana, giardini scolastici, orti botanici, orti urbani, giardini zoologici, cimiteri, aree sportive all’aperto, verde incolto, aree naturali protette e altro) confrontandola con l’intera superficie comunale. </w:t>
      </w:r>
    </w:p>
    <w:p w:rsidR="00AD2C2A" w:rsidRPr="000624BF" w:rsidRDefault="00AD2C2A" w:rsidP="00AD2C2A">
      <w:pPr>
        <w:jc w:val="both"/>
        <w:rPr>
          <w:rFonts w:ascii="Arial" w:hAnsi="Arial"/>
          <w:sz w:val="20"/>
          <w:szCs w:val="20"/>
        </w:rPr>
      </w:pPr>
      <w:r w:rsidRPr="000624BF">
        <w:rPr>
          <w:rFonts w:ascii="Arial" w:hAnsi="Arial"/>
          <w:sz w:val="20"/>
          <w:szCs w:val="20"/>
        </w:rPr>
        <w:t>Come negli ultimi anni, si è cercato di monitorare anche la presenza di interventi di forestazione urbana che si stanno diffondendo in diverse città e che rappresentano una buona pratica, per l’elevata urbanizzazione che caratterizza le nostre città, con diverse valenze positive, sia in termini ecologici che di compensazione e di assorbimento della CO</w:t>
      </w:r>
      <w:r w:rsidRPr="000624BF">
        <w:rPr>
          <w:rFonts w:ascii="Arial" w:hAnsi="Arial"/>
          <w:sz w:val="20"/>
          <w:szCs w:val="20"/>
          <w:vertAlign w:val="subscript"/>
        </w:rPr>
        <w:t>2</w:t>
      </w:r>
      <w:r w:rsidRPr="000624BF">
        <w:rPr>
          <w:rFonts w:ascii="Arial" w:hAnsi="Arial"/>
          <w:sz w:val="20"/>
          <w:szCs w:val="20"/>
        </w:rPr>
        <w:t>.</w:t>
      </w:r>
    </w:p>
    <w:p w:rsidR="00AD2C2A" w:rsidRPr="000624BF" w:rsidRDefault="00AD2C2A" w:rsidP="00AD2C2A">
      <w:pPr>
        <w:jc w:val="both"/>
        <w:rPr>
          <w:rFonts w:ascii="Arial" w:hAnsi="Arial"/>
          <w:sz w:val="20"/>
          <w:szCs w:val="20"/>
        </w:rPr>
      </w:pPr>
      <w:r w:rsidRPr="000624BF">
        <w:rPr>
          <w:rFonts w:ascii="Arial" w:hAnsi="Arial"/>
          <w:sz w:val="20"/>
          <w:szCs w:val="20"/>
        </w:rPr>
        <w:t xml:space="preserve">Tra le città spicca Pisa con </w:t>
      </w:r>
      <w:smartTag w:uri="urn:schemas-microsoft-com:office:smarttags" w:element="metricconverter">
        <w:smartTagPr>
          <w:attr w:name="ProductID" w:val="7.199 m2"/>
        </w:smartTagPr>
        <w:r w:rsidRPr="000624BF">
          <w:rPr>
            <w:rFonts w:ascii="Arial" w:hAnsi="Arial"/>
            <w:sz w:val="20"/>
            <w:szCs w:val="20"/>
          </w:rPr>
          <w:t>7.199 m</w:t>
        </w:r>
        <w:r w:rsidRPr="000624BF">
          <w:rPr>
            <w:rFonts w:ascii="Arial" w:hAnsi="Arial"/>
            <w:sz w:val="20"/>
            <w:szCs w:val="20"/>
            <w:vertAlign w:val="superscript"/>
          </w:rPr>
          <w:t>2</w:t>
        </w:r>
      </w:smartTag>
      <w:r w:rsidRPr="000624BF">
        <w:rPr>
          <w:rFonts w:ascii="Arial" w:hAnsi="Arial"/>
          <w:sz w:val="20"/>
          <w:szCs w:val="20"/>
        </w:rPr>
        <w:t xml:space="preserve"> di verde ogni 10.000 mq di superficie comunale; altre quattro città presentano più della metà della propria superficie destina a verde: Messina, Venezia, Cagliari e L’Aquila; altre 16 hanno destinato a verde almeno un terzo del territorio comunale.</w:t>
      </w:r>
    </w:p>
    <w:p w:rsidR="00AD2C2A" w:rsidRPr="000624BF" w:rsidRDefault="00AD2C2A" w:rsidP="00AD2C2A">
      <w:pPr>
        <w:jc w:val="both"/>
        <w:rPr>
          <w:rFonts w:ascii="Arial" w:hAnsi="Arial"/>
          <w:sz w:val="20"/>
          <w:szCs w:val="20"/>
        </w:rPr>
      </w:pPr>
      <w:r w:rsidRPr="000624BF">
        <w:rPr>
          <w:rFonts w:ascii="Arial" w:hAnsi="Arial"/>
          <w:sz w:val="20"/>
          <w:szCs w:val="20"/>
        </w:rPr>
        <w:t>All’opposto ben 52 città hanno meno del 10% del proprio territorio a verde, e di queste quattro capoluoghi (Trani, Imperia, Chieti e Rovigo) hanno meno di 100 mq di verde ogni 10.000 mq di superficie comunale (corrispondente a meno dell’1%).</w:t>
      </w:r>
    </w:p>
    <w:p w:rsidR="00AD2C2A" w:rsidRPr="000624BF" w:rsidRDefault="00AD2C2A" w:rsidP="00AD2C2A">
      <w:pPr>
        <w:jc w:val="both"/>
        <w:rPr>
          <w:rFonts w:ascii="Arial" w:hAnsi="Arial"/>
          <w:sz w:val="20"/>
          <w:szCs w:val="20"/>
        </w:rPr>
      </w:pPr>
      <w:r w:rsidRPr="000624BF">
        <w:rPr>
          <w:rFonts w:ascii="Arial" w:hAnsi="Arial"/>
          <w:sz w:val="20"/>
          <w:szCs w:val="20"/>
        </w:rPr>
        <w:t>Va sottolineato che l’indicatore tende ad assumere valori più alti per quei territori dove sono state istituite vaste aree naturali a parco o a riserva, poiché generalmente questo tipo di aree ha proporzionalmente estensione maggiore rispetto alle altre categorie di aree verdi e spesso si estendono ben oltre i confini comunali. In tal senso si può dire che l'indicatore "premia" i comuni che hanno deciso di tutelare con forti vincoli le proprie aree.</w:t>
      </w:r>
    </w:p>
    <w:p w:rsidR="00AD2C2A" w:rsidRPr="000624BF" w:rsidRDefault="00AD2C2A" w:rsidP="00AD2C2A">
      <w:pPr>
        <w:jc w:val="both"/>
        <w:rPr>
          <w:rFonts w:ascii="Arial" w:hAnsi="Arial"/>
          <w:sz w:val="20"/>
          <w:szCs w:val="20"/>
        </w:rPr>
      </w:pPr>
      <w:r w:rsidRPr="000624BF">
        <w:rPr>
          <w:rFonts w:ascii="Arial" w:hAnsi="Arial"/>
          <w:sz w:val="20"/>
          <w:szCs w:val="20"/>
        </w:rPr>
        <w:t xml:space="preserve">Sono 87 i comuni che quest’anno hanno segnalato aree protette o riserve entro i confini comunali; tra queste 9 superano i </w:t>
      </w:r>
      <w:smartTag w:uri="urn:schemas-microsoft-com:office:smarttags" w:element="metricconverter">
        <w:smartTagPr>
          <w:attr w:name="ProductID" w:val="5.000 ha"/>
        </w:smartTagPr>
        <w:r w:rsidRPr="000624BF">
          <w:rPr>
            <w:rFonts w:ascii="Arial" w:hAnsi="Arial"/>
            <w:sz w:val="20"/>
            <w:szCs w:val="20"/>
          </w:rPr>
          <w:t>5.000 ha</w:t>
        </w:r>
      </w:smartTag>
      <w:r w:rsidRPr="000624BF">
        <w:rPr>
          <w:rFonts w:ascii="Arial" w:hAnsi="Arial"/>
          <w:sz w:val="20"/>
          <w:szCs w:val="20"/>
        </w:rPr>
        <w:t xml:space="preserve"> e 55 i </w:t>
      </w:r>
      <w:smartTag w:uri="urn:schemas-microsoft-com:office:smarttags" w:element="metricconverter">
        <w:smartTagPr>
          <w:attr w:name="ProductID" w:val="1.000 ha"/>
        </w:smartTagPr>
        <w:r w:rsidRPr="000624BF">
          <w:rPr>
            <w:rFonts w:ascii="Arial" w:hAnsi="Arial"/>
            <w:sz w:val="20"/>
            <w:szCs w:val="20"/>
          </w:rPr>
          <w:t>1.000 ha</w:t>
        </w:r>
      </w:smartTag>
      <w:r w:rsidRPr="000624BF">
        <w:rPr>
          <w:rFonts w:ascii="Arial" w:hAnsi="Arial"/>
          <w:sz w:val="20"/>
          <w:szCs w:val="20"/>
        </w:rPr>
        <w:t xml:space="preserve">. Come valore assoluto il primato spetta a Roma, con </w:t>
      </w:r>
      <w:smartTag w:uri="urn:schemas-microsoft-com:office:smarttags" w:element="metricconverter">
        <w:smartTagPr>
          <w:attr w:name="ProductID" w:val="40.964 ha"/>
        </w:smartTagPr>
        <w:r w:rsidRPr="000624BF">
          <w:rPr>
            <w:rFonts w:ascii="Arial" w:hAnsi="Arial"/>
            <w:sz w:val="20"/>
            <w:szCs w:val="20"/>
          </w:rPr>
          <w:t>40.964 ha</w:t>
        </w:r>
      </w:smartTag>
      <w:r w:rsidRPr="000624BF">
        <w:rPr>
          <w:rFonts w:ascii="Arial" w:hAnsi="Arial"/>
          <w:sz w:val="20"/>
          <w:szCs w:val="20"/>
        </w:rPr>
        <w:t xml:space="preserve"> protetti.</w:t>
      </w:r>
    </w:p>
    <w:p w:rsidR="00AD2C2A" w:rsidRPr="000624BF" w:rsidRDefault="00AD2C2A" w:rsidP="00AD2C2A">
      <w:pPr>
        <w:jc w:val="both"/>
        <w:rPr>
          <w:rFonts w:ascii="Arial" w:hAnsi="Arial"/>
          <w:sz w:val="20"/>
          <w:szCs w:val="20"/>
        </w:rPr>
      </w:pPr>
    </w:p>
    <w:p w:rsidR="00AD2C2A" w:rsidRPr="000624BF" w:rsidRDefault="00AD2C2A" w:rsidP="00AD2C2A">
      <w:pPr>
        <w:jc w:val="both"/>
        <w:rPr>
          <w:sz w:val="20"/>
          <w:szCs w:val="20"/>
        </w:rPr>
      </w:pPr>
    </w:p>
    <w:p w:rsidR="00AD2C2A" w:rsidRPr="000624BF" w:rsidRDefault="00AD2C2A" w:rsidP="00AD2C2A">
      <w:pPr>
        <w:numPr>
          <w:ilvl w:val="0"/>
          <w:numId w:val="22"/>
        </w:numPr>
        <w:jc w:val="both"/>
        <w:rPr>
          <w:rFonts w:ascii="Arial" w:hAnsi="Arial"/>
          <w:b/>
        </w:rPr>
      </w:pPr>
      <w:r w:rsidRPr="000624BF">
        <w:rPr>
          <w:rFonts w:ascii="Arial" w:hAnsi="Arial"/>
          <w:b/>
        </w:rPr>
        <w:t>Consumi elettrici domestici</w:t>
      </w:r>
    </w:p>
    <w:p w:rsidR="00AD2C2A" w:rsidRPr="000624BF" w:rsidRDefault="00AD2C2A" w:rsidP="00AD2C2A">
      <w:pPr>
        <w:jc w:val="both"/>
        <w:rPr>
          <w:rFonts w:ascii="Arial" w:hAnsi="Arial"/>
          <w:i/>
        </w:rPr>
      </w:pPr>
      <w:r w:rsidRPr="000624BF">
        <w:rPr>
          <w:rFonts w:ascii="Arial" w:hAnsi="Arial"/>
          <w:i/>
        </w:rPr>
        <w:t xml:space="preserve">(Consumo elettrico annuale pro capite per uso domestico (kWh/ab); fonte: ISTAT, Indicatori ambientali urbani 2011) </w:t>
      </w:r>
    </w:p>
    <w:p w:rsidR="00AD2C2A" w:rsidRPr="000624BF" w:rsidRDefault="00AD2C2A" w:rsidP="00AD2C2A">
      <w:pPr>
        <w:jc w:val="both"/>
        <w:rPr>
          <w:rFonts w:ascii="Arial" w:hAnsi="Arial"/>
          <w:sz w:val="20"/>
          <w:szCs w:val="20"/>
        </w:rPr>
      </w:pPr>
    </w:p>
    <w:p w:rsidR="00AD2C2A" w:rsidRPr="000624BF" w:rsidRDefault="00AD2C2A" w:rsidP="00AD2C2A">
      <w:pPr>
        <w:jc w:val="both"/>
        <w:rPr>
          <w:rFonts w:ascii="Arial" w:hAnsi="Arial"/>
          <w:sz w:val="20"/>
          <w:szCs w:val="20"/>
        </w:rPr>
      </w:pPr>
      <w:r w:rsidRPr="000624BF">
        <w:rPr>
          <w:rFonts w:ascii="Arial" w:hAnsi="Arial"/>
          <w:sz w:val="20"/>
          <w:szCs w:val="20"/>
        </w:rPr>
        <w:t>Anche per questa XX edizione di Ecosistema Urbano, come è accaduto per le scorse pubblicazioni, la rilevazione dei consumi elettrici domestici è tratta dal Rapporto Indicatori ambientali urbani di ISTAT.</w:t>
      </w:r>
    </w:p>
    <w:p w:rsidR="00AD2C2A" w:rsidRPr="000624BF" w:rsidRDefault="00AD2C2A" w:rsidP="00AD2C2A">
      <w:pPr>
        <w:jc w:val="both"/>
        <w:rPr>
          <w:rFonts w:ascii="Arial" w:hAnsi="Arial"/>
          <w:sz w:val="20"/>
          <w:szCs w:val="20"/>
        </w:rPr>
      </w:pPr>
      <w:r w:rsidRPr="000624BF">
        <w:rPr>
          <w:rFonts w:ascii="Arial" w:hAnsi="Arial"/>
          <w:sz w:val="20"/>
          <w:szCs w:val="20"/>
        </w:rPr>
        <w:t>Non essendo presente ad oggi una rilevazione più aggiornata, si è quindi tenuto conto dei dati del Rapporto</w:t>
      </w:r>
      <w:r w:rsidRPr="000624BF">
        <w:t xml:space="preserve"> </w:t>
      </w:r>
      <w:r w:rsidRPr="000624BF">
        <w:rPr>
          <w:rFonts w:ascii="Arial" w:hAnsi="Arial"/>
          <w:sz w:val="20"/>
          <w:szCs w:val="20"/>
        </w:rPr>
        <w:t>Indicatori ambientali urbani di ISTAT della scorsa edizione (ISTAT 2012, su dati 2011).</w:t>
      </w:r>
    </w:p>
    <w:p w:rsidR="00AD2C2A" w:rsidRPr="000624BF" w:rsidRDefault="00AD2C2A" w:rsidP="00AD2C2A">
      <w:pPr>
        <w:jc w:val="both"/>
        <w:rPr>
          <w:rFonts w:ascii="Arial" w:hAnsi="Arial"/>
          <w:sz w:val="20"/>
          <w:szCs w:val="20"/>
        </w:rPr>
      </w:pPr>
      <w:r w:rsidRPr="000624BF">
        <w:rPr>
          <w:rFonts w:ascii="Arial" w:hAnsi="Arial"/>
          <w:sz w:val="20"/>
          <w:szCs w:val="20"/>
        </w:rPr>
        <w:lastRenderedPageBreak/>
        <w:t xml:space="preserve">Da Ecosistema Urbano XIX si evince che </w:t>
      </w:r>
      <w:r w:rsidRPr="000624BF">
        <w:rPr>
          <w:rFonts w:ascii="Arial" w:hAnsi="Arial"/>
          <w:i/>
          <w:sz w:val="20"/>
          <w:szCs w:val="20"/>
        </w:rPr>
        <w:t xml:space="preserve">“analogamente agli anni precedenti si evidenzia un notevole divario tra i valori più bassi, con 14 città sotto i 1.000 kWh pro capite (in aumento rispetto al 2010) e quelli più alti, con nove città sopra i 1.300 kWh (in crescita rispetto alla scorsa edizione, nella quale se ne contavano sette). La media (ponderata) dei capoluoghi italiani si attesta a 1189,03 kWh pro capite, in linea con il valore della passata edizione. </w:t>
      </w:r>
    </w:p>
    <w:p w:rsidR="00AD2C2A" w:rsidRPr="000624BF" w:rsidRDefault="00AD2C2A" w:rsidP="00AD2C2A">
      <w:pPr>
        <w:jc w:val="both"/>
        <w:rPr>
          <w:rFonts w:ascii="Arial" w:hAnsi="Arial"/>
          <w:i/>
          <w:sz w:val="20"/>
          <w:szCs w:val="20"/>
        </w:rPr>
      </w:pPr>
      <w:r w:rsidRPr="000624BF">
        <w:rPr>
          <w:rFonts w:ascii="Arial" w:hAnsi="Arial"/>
          <w:i/>
          <w:sz w:val="20"/>
          <w:szCs w:val="20"/>
        </w:rPr>
        <w:t>La più grande consumatrice di energia elettrica è Cagliari, con 1.583 kWh/ab (una dato in calo, ma che resta comunque molto alto), seguita da Roma con 1.459 kWh/ab e Sassari con 1.369 kWh/abitante. All’atro capo della classifica si trovano Campobasso, Matera, Potenza e Trento che non raggiungono la soglia dei 950 kWh pro capite”.</w:t>
      </w:r>
    </w:p>
    <w:p w:rsidR="00AD2C2A" w:rsidRPr="000624BF" w:rsidRDefault="00AD2C2A" w:rsidP="00AD2C2A">
      <w:pPr>
        <w:jc w:val="both"/>
        <w:rPr>
          <w:rFonts w:ascii="Arial" w:hAnsi="Arial"/>
          <w:b/>
        </w:rPr>
      </w:pPr>
      <w:r w:rsidRPr="000624BF">
        <w:rPr>
          <w:rFonts w:ascii="Arial" w:hAnsi="Arial"/>
          <w:b/>
        </w:rPr>
        <w:tab/>
      </w:r>
    </w:p>
    <w:p w:rsidR="00AD2C2A" w:rsidRPr="000624BF" w:rsidRDefault="00AD2C2A" w:rsidP="00AD2C2A">
      <w:pPr>
        <w:jc w:val="both"/>
        <w:rPr>
          <w:rFonts w:ascii="Arial" w:hAnsi="Arial"/>
          <w:b/>
        </w:rPr>
      </w:pPr>
    </w:p>
    <w:p w:rsidR="00AD2C2A" w:rsidRPr="000624BF" w:rsidRDefault="00AD2C2A" w:rsidP="00AD2C2A">
      <w:pPr>
        <w:numPr>
          <w:ilvl w:val="0"/>
          <w:numId w:val="22"/>
        </w:numPr>
        <w:jc w:val="both"/>
        <w:rPr>
          <w:rFonts w:ascii="Arial" w:hAnsi="Arial"/>
          <w:b/>
        </w:rPr>
      </w:pPr>
      <w:r w:rsidRPr="000624BF">
        <w:rPr>
          <w:rFonts w:ascii="Arial" w:hAnsi="Arial"/>
          <w:b/>
        </w:rPr>
        <w:t xml:space="preserve"> Energie rinnovabili e teleriscaldamento</w:t>
      </w:r>
    </w:p>
    <w:p w:rsidR="00AD2C2A" w:rsidRPr="000624BF" w:rsidRDefault="00AD2C2A" w:rsidP="00AD2C2A">
      <w:pPr>
        <w:jc w:val="both"/>
        <w:rPr>
          <w:rFonts w:ascii="Arial" w:hAnsi="Arial"/>
          <w:i/>
        </w:rPr>
      </w:pPr>
      <w:r w:rsidRPr="000624BF">
        <w:rPr>
          <w:rFonts w:ascii="Arial" w:hAnsi="Arial"/>
          <w:i/>
        </w:rPr>
        <w:t xml:space="preserve">(Indice composto da: </w:t>
      </w:r>
      <w:r w:rsidRPr="000624BF">
        <w:rPr>
          <w:rFonts w:ascii="Arial" w:hAnsi="Arial"/>
          <w:i/>
          <w:u w:val="single"/>
        </w:rPr>
        <w:t>solare termico</w:t>
      </w:r>
      <w:r w:rsidRPr="000624BF">
        <w:rPr>
          <w:rFonts w:ascii="Arial" w:hAnsi="Arial"/>
          <w:i/>
        </w:rPr>
        <w:t xml:space="preserve"> – m</w:t>
      </w:r>
      <w:r w:rsidRPr="000624BF">
        <w:rPr>
          <w:rFonts w:ascii="Arial" w:hAnsi="Arial"/>
          <w:i/>
          <w:vertAlign w:val="superscript"/>
        </w:rPr>
        <w:t>2</w:t>
      </w:r>
      <w:r w:rsidRPr="000624BF">
        <w:rPr>
          <w:rFonts w:ascii="Arial" w:hAnsi="Arial"/>
          <w:i/>
        </w:rPr>
        <w:t xml:space="preserve"> installati su edifici comunali ogni 1.000 abitanti (m</w:t>
      </w:r>
      <w:r w:rsidRPr="000624BF">
        <w:rPr>
          <w:rFonts w:ascii="Arial" w:hAnsi="Arial"/>
          <w:i/>
          <w:vertAlign w:val="superscript"/>
        </w:rPr>
        <w:t>2</w:t>
      </w:r>
      <w:r w:rsidRPr="000624BF">
        <w:rPr>
          <w:rFonts w:ascii="Arial" w:hAnsi="Arial"/>
          <w:i/>
        </w:rPr>
        <w:t xml:space="preserve">/1.000 ab), </w:t>
      </w:r>
      <w:r w:rsidRPr="000624BF">
        <w:rPr>
          <w:rFonts w:ascii="Arial" w:hAnsi="Arial"/>
          <w:i/>
          <w:u w:val="single"/>
        </w:rPr>
        <w:t>solare fotovoltaico</w:t>
      </w:r>
      <w:r w:rsidRPr="000624BF">
        <w:rPr>
          <w:rFonts w:ascii="Arial" w:hAnsi="Arial"/>
          <w:i/>
        </w:rPr>
        <w:t xml:space="preserve"> – kWatt installati su edifici comunali ogni 1.000 abitanti (kW/1.000 ab), </w:t>
      </w:r>
      <w:r w:rsidRPr="000624BF">
        <w:rPr>
          <w:rFonts w:ascii="Arial" w:hAnsi="Arial"/>
          <w:i/>
          <w:u w:val="single"/>
        </w:rPr>
        <w:t>teleriscaldamento</w:t>
      </w:r>
      <w:r w:rsidRPr="000624BF">
        <w:rPr>
          <w:rFonts w:ascii="Arial" w:hAnsi="Arial"/>
          <w:i/>
        </w:rPr>
        <w:t xml:space="preserve"> – volumi riscaldati per ogni abitante (mc/ab); fonte: censimento </w:t>
      </w:r>
      <w:smartTag w:uri="urn:schemas-microsoft-com:office:smarttags" w:element="PersonName">
        <w:smartTagPr>
          <w:attr w:name="ProductID" w:val="Ecosistema Urbano"/>
        </w:smartTagPr>
        <w:r w:rsidRPr="000624BF">
          <w:rPr>
            <w:rFonts w:ascii="Arial" w:hAnsi="Arial"/>
            <w:i/>
          </w:rPr>
          <w:t>Ecosistema Urbano</w:t>
        </w:r>
      </w:smartTag>
      <w:r w:rsidRPr="000624BF">
        <w:rPr>
          <w:rFonts w:ascii="Arial" w:hAnsi="Arial"/>
          <w:i/>
        </w:rPr>
        <w:t xml:space="preserve"> XX)</w:t>
      </w:r>
    </w:p>
    <w:p w:rsidR="00AD2C2A" w:rsidRPr="000624BF" w:rsidRDefault="00AD2C2A" w:rsidP="00AD2C2A">
      <w:pPr>
        <w:jc w:val="both"/>
        <w:rPr>
          <w:rFonts w:ascii="Arial" w:hAnsi="Arial"/>
          <w:sz w:val="10"/>
          <w:szCs w:val="10"/>
        </w:rPr>
      </w:pPr>
    </w:p>
    <w:p w:rsidR="00AD2C2A" w:rsidRPr="000624BF" w:rsidRDefault="00AD2C2A" w:rsidP="00AD2C2A">
      <w:pPr>
        <w:jc w:val="both"/>
        <w:rPr>
          <w:rFonts w:ascii="Arial" w:hAnsi="Arial"/>
          <w:sz w:val="20"/>
          <w:szCs w:val="20"/>
        </w:rPr>
      </w:pPr>
      <w:r w:rsidRPr="000624BF">
        <w:rPr>
          <w:rFonts w:ascii="Arial" w:hAnsi="Arial"/>
          <w:sz w:val="20"/>
          <w:szCs w:val="20"/>
        </w:rPr>
        <w:t xml:space="preserve">Come per l’edizione precedente, questi indici sono stati predisposti allo scopo di illustrare lo stato dell’arte relativo all’impiego ed alla diffusione nei comuni capoluogo di fonti di energia rinnovabile o a minore impatto ambientale. </w:t>
      </w:r>
    </w:p>
    <w:p w:rsidR="00AD2C2A" w:rsidRPr="000624BF" w:rsidRDefault="00AD2C2A" w:rsidP="00AD2C2A">
      <w:pPr>
        <w:jc w:val="both"/>
        <w:rPr>
          <w:rFonts w:ascii="Arial" w:hAnsi="Arial"/>
          <w:sz w:val="20"/>
          <w:szCs w:val="20"/>
        </w:rPr>
      </w:pPr>
      <w:r w:rsidRPr="000624BF">
        <w:rPr>
          <w:rFonts w:ascii="Arial" w:hAnsi="Arial"/>
          <w:sz w:val="20"/>
          <w:szCs w:val="20"/>
        </w:rPr>
        <w:t xml:space="preserve">Nello specifico sono stati considerati i seguenti parametri: </w:t>
      </w:r>
    </w:p>
    <w:p w:rsidR="00AD2C2A" w:rsidRPr="000624BF" w:rsidRDefault="00AD2C2A" w:rsidP="00AD2C2A">
      <w:pPr>
        <w:numPr>
          <w:ilvl w:val="0"/>
          <w:numId w:val="2"/>
        </w:numPr>
        <w:jc w:val="both"/>
        <w:rPr>
          <w:rFonts w:ascii="Arial" w:hAnsi="Arial"/>
          <w:sz w:val="20"/>
          <w:szCs w:val="20"/>
        </w:rPr>
      </w:pPr>
      <w:r w:rsidRPr="000624BF">
        <w:rPr>
          <w:rFonts w:ascii="Arial" w:hAnsi="Arial"/>
          <w:sz w:val="20"/>
          <w:szCs w:val="20"/>
        </w:rPr>
        <w:t>per il solare fotovoltaico, la potenza installata sugli edifici comunali;</w:t>
      </w:r>
    </w:p>
    <w:p w:rsidR="00AD2C2A" w:rsidRPr="000624BF" w:rsidRDefault="00AD2C2A" w:rsidP="00AD2C2A">
      <w:pPr>
        <w:numPr>
          <w:ilvl w:val="0"/>
          <w:numId w:val="2"/>
        </w:numPr>
        <w:jc w:val="both"/>
        <w:rPr>
          <w:rFonts w:ascii="Arial" w:hAnsi="Arial"/>
          <w:sz w:val="20"/>
          <w:szCs w:val="20"/>
        </w:rPr>
      </w:pPr>
      <w:r w:rsidRPr="000624BF">
        <w:rPr>
          <w:rFonts w:ascii="Arial" w:hAnsi="Arial"/>
          <w:sz w:val="20"/>
          <w:szCs w:val="20"/>
        </w:rPr>
        <w:t xml:space="preserve">per il solare termico, i metri quadri di pannelli sugli edifici comunali; </w:t>
      </w:r>
    </w:p>
    <w:p w:rsidR="00AD2C2A" w:rsidRPr="000624BF" w:rsidRDefault="00AD2C2A" w:rsidP="00AD2C2A">
      <w:pPr>
        <w:numPr>
          <w:ilvl w:val="0"/>
          <w:numId w:val="2"/>
        </w:numPr>
        <w:jc w:val="both"/>
        <w:rPr>
          <w:rFonts w:ascii="Arial" w:hAnsi="Arial"/>
          <w:sz w:val="20"/>
          <w:szCs w:val="20"/>
        </w:rPr>
      </w:pPr>
      <w:r w:rsidRPr="000624BF">
        <w:rPr>
          <w:rFonts w:ascii="Arial" w:hAnsi="Arial"/>
          <w:sz w:val="20"/>
          <w:szCs w:val="20"/>
        </w:rPr>
        <w:t>per il teleriscaldamento, i metri cubi riscaldati.</w:t>
      </w:r>
    </w:p>
    <w:p w:rsidR="00AD2C2A" w:rsidRPr="000624BF" w:rsidRDefault="00AD2C2A" w:rsidP="00AD2C2A">
      <w:pPr>
        <w:jc w:val="both"/>
        <w:rPr>
          <w:rFonts w:ascii="Arial" w:hAnsi="Arial"/>
          <w:sz w:val="20"/>
          <w:szCs w:val="20"/>
        </w:rPr>
      </w:pPr>
    </w:p>
    <w:p w:rsidR="00AD2C2A" w:rsidRPr="000624BF" w:rsidRDefault="00AD2C2A" w:rsidP="00AD2C2A">
      <w:pPr>
        <w:jc w:val="both"/>
        <w:rPr>
          <w:rFonts w:ascii="Arial" w:hAnsi="Arial"/>
          <w:sz w:val="20"/>
          <w:szCs w:val="20"/>
        </w:rPr>
      </w:pPr>
      <w:r w:rsidRPr="000624BF">
        <w:rPr>
          <w:rFonts w:ascii="Arial" w:hAnsi="Arial"/>
          <w:sz w:val="20"/>
          <w:szCs w:val="20"/>
        </w:rPr>
        <w:t xml:space="preserve">La struttura degli indici è predisposta in modo tale da premiare quelle città nelle quali si riscontra un impegno maggiore nella diffusione e nell’attuazione di queste tipologie di impianti. </w:t>
      </w:r>
    </w:p>
    <w:p w:rsidR="00AD2C2A" w:rsidRPr="000624BF" w:rsidRDefault="00AD2C2A" w:rsidP="00AD2C2A">
      <w:pPr>
        <w:jc w:val="both"/>
        <w:rPr>
          <w:rFonts w:ascii="Arial" w:hAnsi="Arial"/>
          <w:sz w:val="20"/>
          <w:szCs w:val="20"/>
        </w:rPr>
      </w:pPr>
      <w:r w:rsidRPr="000624BF">
        <w:rPr>
          <w:rFonts w:ascii="Arial" w:hAnsi="Arial"/>
          <w:sz w:val="20"/>
          <w:szCs w:val="20"/>
        </w:rPr>
        <w:t>A livello nazionale sono 87 i comuni che dichiarano di avere installato pannelli fotovoltaici e, tra questi, si distinguono per gli elevati valori Gorizia (con 30,34 kW ogni 1.000 ab) e Oristano (con 19,55 kW ogni 1.000 ab) fra le piccole città, Lucca e Pesaro fra le città medie (rispettivamente con più di 28 e 27 kW ogni 1.000 ab) e, infine, Padova e Verona, prima e seconda fra le grandi città, rispettivamente con  29,19  e 23,47  kW ogni 1.000 ab.</w:t>
      </w:r>
    </w:p>
    <w:p w:rsidR="00AD2C2A" w:rsidRPr="000624BF" w:rsidRDefault="00AD2C2A" w:rsidP="00AD2C2A">
      <w:pPr>
        <w:jc w:val="both"/>
        <w:rPr>
          <w:rFonts w:ascii="Arial" w:hAnsi="Arial"/>
          <w:sz w:val="20"/>
          <w:szCs w:val="20"/>
        </w:rPr>
      </w:pPr>
      <w:r w:rsidRPr="000624BF">
        <w:rPr>
          <w:rFonts w:ascii="Arial" w:hAnsi="Arial"/>
          <w:sz w:val="20"/>
          <w:szCs w:val="20"/>
        </w:rPr>
        <w:t>Per quanto riguarda gli impianti solari termici si possono enumerare 69 amministrazioni che possiedono degli impianti nelle proprie strutture. In particolare, tra le città di piccole dimensioni, Verbania si posizione in testa con più di 12 m</w:t>
      </w:r>
      <w:r w:rsidRPr="000624BF">
        <w:rPr>
          <w:rFonts w:ascii="Arial" w:hAnsi="Arial"/>
          <w:sz w:val="20"/>
          <w:szCs w:val="20"/>
          <w:vertAlign w:val="superscript"/>
        </w:rPr>
        <w:t>2</w:t>
      </w:r>
      <w:r w:rsidRPr="000624BF">
        <w:rPr>
          <w:rFonts w:ascii="Arial" w:hAnsi="Arial"/>
          <w:sz w:val="20"/>
          <w:szCs w:val="20"/>
        </w:rPr>
        <w:t xml:space="preserve"> ogni 1.000 ab, seguita da Cosenza e Lodi (entrambe al di sopra dei 9 m</w:t>
      </w:r>
      <w:r w:rsidRPr="000624BF">
        <w:rPr>
          <w:rFonts w:ascii="Arial" w:hAnsi="Arial"/>
          <w:sz w:val="20"/>
          <w:szCs w:val="20"/>
          <w:vertAlign w:val="superscript"/>
        </w:rPr>
        <w:t>2</w:t>
      </w:r>
      <w:r w:rsidRPr="000624BF">
        <w:rPr>
          <w:rFonts w:ascii="Arial" w:hAnsi="Arial"/>
          <w:sz w:val="20"/>
          <w:szCs w:val="20"/>
        </w:rPr>
        <w:t xml:space="preserve"> ogni 1.000 ab). Tra le città medie Forlì registra un valore di 5,72 m</w:t>
      </w:r>
      <w:r w:rsidRPr="000624BF">
        <w:rPr>
          <w:rFonts w:ascii="Arial" w:hAnsi="Arial"/>
          <w:sz w:val="20"/>
          <w:szCs w:val="20"/>
          <w:vertAlign w:val="superscript"/>
        </w:rPr>
        <w:t>2</w:t>
      </w:r>
      <w:r w:rsidRPr="000624BF">
        <w:rPr>
          <w:rFonts w:ascii="Arial" w:hAnsi="Arial"/>
          <w:sz w:val="20"/>
          <w:szCs w:val="20"/>
        </w:rPr>
        <w:t xml:space="preserve"> ogni 1.000 ab e anche Siracusa e Trento superano i 4 m</w:t>
      </w:r>
      <w:r w:rsidRPr="000624BF">
        <w:rPr>
          <w:rFonts w:ascii="Arial" w:hAnsi="Arial"/>
          <w:sz w:val="20"/>
          <w:szCs w:val="20"/>
          <w:vertAlign w:val="superscript"/>
        </w:rPr>
        <w:t>2</w:t>
      </w:r>
      <w:r w:rsidRPr="000624BF">
        <w:rPr>
          <w:rFonts w:ascii="Arial" w:hAnsi="Arial"/>
          <w:sz w:val="20"/>
          <w:szCs w:val="20"/>
        </w:rPr>
        <w:t xml:space="preserve"> ogni 1.000 ab, mentre tra i grandi capoluoghi è Catania a detenere la testa della classifica, con un valore superiore ai 4 m</w:t>
      </w:r>
      <w:r w:rsidRPr="000624BF">
        <w:rPr>
          <w:rFonts w:ascii="Arial" w:hAnsi="Arial"/>
          <w:sz w:val="20"/>
          <w:szCs w:val="20"/>
          <w:vertAlign w:val="superscript"/>
        </w:rPr>
        <w:t>2</w:t>
      </w:r>
      <w:r w:rsidRPr="000624BF">
        <w:rPr>
          <w:rFonts w:ascii="Arial" w:hAnsi="Arial"/>
          <w:sz w:val="20"/>
          <w:szCs w:val="20"/>
        </w:rPr>
        <w:t xml:space="preserve"> ogni 1.000 ab.</w:t>
      </w:r>
    </w:p>
    <w:p w:rsidR="00AD2C2A" w:rsidRPr="000624BF" w:rsidRDefault="00AD2C2A" w:rsidP="00AD2C2A">
      <w:pPr>
        <w:jc w:val="both"/>
        <w:rPr>
          <w:rFonts w:ascii="Arial" w:hAnsi="Arial"/>
          <w:sz w:val="20"/>
          <w:szCs w:val="20"/>
        </w:rPr>
      </w:pPr>
      <w:r w:rsidRPr="000624BF">
        <w:rPr>
          <w:rFonts w:ascii="Arial" w:hAnsi="Arial"/>
          <w:sz w:val="20"/>
          <w:szCs w:val="20"/>
        </w:rPr>
        <w:t xml:space="preserve">Infine le reti di teleriscaldamento sono presenti in 33 comuni, dato in linea con quello dell’anno scorso, (di queste, </w:t>
      </w:r>
      <w:smartTag w:uri="urn:schemas-microsoft-com:office:smarttags" w:element="PersonName">
        <w:smartTagPr>
          <w:attr w:name="ProductID" w:val="La Spezia"/>
        </w:smartTagPr>
        <w:r w:rsidRPr="000624BF">
          <w:rPr>
            <w:rFonts w:ascii="Arial" w:hAnsi="Arial"/>
            <w:sz w:val="20"/>
            <w:szCs w:val="20"/>
          </w:rPr>
          <w:t>La Spezia</w:t>
        </w:r>
      </w:smartTag>
      <w:r w:rsidRPr="000624BF">
        <w:rPr>
          <w:rFonts w:ascii="Arial" w:hAnsi="Arial"/>
          <w:sz w:val="20"/>
          <w:szCs w:val="20"/>
        </w:rPr>
        <w:t xml:space="preserve"> non è in grado di fornire la quantità di volumi riscaldati). A livello nazionale Brescia detiene un primato assoluto molto alto con 203,18 mc di volumi riscaldati per abitante, seguita da Mantova (111,15 mc/ab), Reggio Emilia (77,80 mc/ab) e Cremona (75,52 mc/ab). Tra le città grandi, Torino presenta il risultato migliore con 63,07 mc/ab.</w:t>
      </w:r>
    </w:p>
    <w:p w:rsidR="00AD2C2A" w:rsidRPr="000624BF" w:rsidRDefault="00AD2C2A" w:rsidP="00AD2C2A">
      <w:pPr>
        <w:jc w:val="both"/>
        <w:rPr>
          <w:sz w:val="20"/>
          <w:szCs w:val="20"/>
        </w:rPr>
      </w:pPr>
    </w:p>
    <w:p w:rsidR="00AD2C2A" w:rsidRPr="000624BF" w:rsidRDefault="00AD2C2A" w:rsidP="00AD2C2A">
      <w:pPr>
        <w:jc w:val="both"/>
        <w:rPr>
          <w:sz w:val="20"/>
          <w:szCs w:val="20"/>
        </w:rPr>
      </w:pPr>
    </w:p>
    <w:p w:rsidR="00AD2C2A" w:rsidRPr="000624BF" w:rsidRDefault="00AD2C2A" w:rsidP="00AD2C2A">
      <w:pPr>
        <w:numPr>
          <w:ilvl w:val="0"/>
          <w:numId w:val="22"/>
        </w:numPr>
        <w:jc w:val="both"/>
        <w:rPr>
          <w:rFonts w:ascii="Arial" w:hAnsi="Arial"/>
          <w:b/>
        </w:rPr>
      </w:pPr>
      <w:r w:rsidRPr="000624BF">
        <w:rPr>
          <w:rFonts w:ascii="Arial" w:hAnsi="Arial"/>
          <w:b/>
        </w:rPr>
        <w:t>Politiche energetiche</w:t>
      </w:r>
    </w:p>
    <w:p w:rsidR="00AD2C2A" w:rsidRPr="000624BF" w:rsidRDefault="00AD2C2A" w:rsidP="00AD2C2A">
      <w:pPr>
        <w:jc w:val="both"/>
        <w:rPr>
          <w:rFonts w:ascii="Arial" w:hAnsi="Arial"/>
          <w:i/>
        </w:rPr>
      </w:pPr>
      <w:r w:rsidRPr="000624BF">
        <w:rPr>
          <w:rFonts w:ascii="Arial" w:hAnsi="Arial"/>
          <w:i/>
        </w:rPr>
        <w:t xml:space="preserve">(Indice (massimo 100) composto da: introduzione di incentivi economici e norme cogenti sul risparmio energetico e diffusione fonti energia rinnovabile, presenza di Energy manager, acquisto di energia elettrica da fonte rinnovabile, realizzazione di audit energetici, attuazione di attività di risparmio energetico post-audit, realizzazione di banca dati edifici certificati; fonte: censimento </w:t>
      </w:r>
      <w:smartTag w:uri="urn:schemas-microsoft-com:office:smarttags" w:element="PersonName">
        <w:smartTagPr>
          <w:attr w:name="ProductID" w:val="Ecosistema Urbano"/>
        </w:smartTagPr>
        <w:r w:rsidRPr="000624BF">
          <w:rPr>
            <w:rFonts w:ascii="Arial" w:hAnsi="Arial"/>
            <w:i/>
          </w:rPr>
          <w:t>Ecosistema Urbano</w:t>
        </w:r>
      </w:smartTag>
      <w:r w:rsidRPr="000624BF">
        <w:rPr>
          <w:rFonts w:ascii="Arial" w:hAnsi="Arial"/>
          <w:i/>
        </w:rPr>
        <w:t xml:space="preserve"> XX)</w:t>
      </w:r>
    </w:p>
    <w:p w:rsidR="00AD2C2A" w:rsidRPr="000624BF" w:rsidRDefault="00AD2C2A" w:rsidP="00AD2C2A">
      <w:pPr>
        <w:jc w:val="both"/>
        <w:rPr>
          <w:rFonts w:ascii="Arial" w:hAnsi="Arial"/>
          <w:i/>
          <w:sz w:val="10"/>
          <w:szCs w:val="10"/>
        </w:rPr>
      </w:pPr>
    </w:p>
    <w:p w:rsidR="00AD2C2A" w:rsidRPr="000624BF" w:rsidRDefault="00AD2C2A" w:rsidP="00AD2C2A">
      <w:pPr>
        <w:jc w:val="both"/>
        <w:rPr>
          <w:rFonts w:ascii="Arial" w:hAnsi="Arial"/>
          <w:sz w:val="20"/>
          <w:szCs w:val="20"/>
        </w:rPr>
      </w:pPr>
      <w:r w:rsidRPr="000624BF">
        <w:rPr>
          <w:rFonts w:ascii="Arial" w:hAnsi="Arial"/>
          <w:sz w:val="20"/>
          <w:szCs w:val="20"/>
        </w:rPr>
        <w:t xml:space="preserve">L’indice sintetico (espresso in valori da 0 a 100) sulle politiche energetiche è stato mantenuto uguale rispetto alla precedente edizione e prende in considerazione i seguenti parametri: </w:t>
      </w:r>
    </w:p>
    <w:p w:rsidR="00AD2C2A" w:rsidRPr="000624BF" w:rsidRDefault="00AD2C2A" w:rsidP="00AD2C2A">
      <w:pPr>
        <w:numPr>
          <w:ilvl w:val="0"/>
          <w:numId w:val="2"/>
        </w:numPr>
        <w:jc w:val="both"/>
        <w:rPr>
          <w:rFonts w:ascii="Arial" w:hAnsi="Arial"/>
          <w:sz w:val="20"/>
          <w:szCs w:val="20"/>
        </w:rPr>
      </w:pPr>
      <w:r w:rsidRPr="000624BF">
        <w:rPr>
          <w:rFonts w:ascii="Arial" w:hAnsi="Arial"/>
          <w:sz w:val="20"/>
          <w:szCs w:val="20"/>
        </w:rPr>
        <w:t>l’introduzione nel regolamento edilizio di norme o disposizioni cogenti riguardanti il risparmio energetico e l’impiego di fonti di energia rinnovabili;</w:t>
      </w:r>
    </w:p>
    <w:p w:rsidR="00AD2C2A" w:rsidRPr="000624BF" w:rsidRDefault="00AD2C2A" w:rsidP="00AD2C2A">
      <w:pPr>
        <w:numPr>
          <w:ilvl w:val="0"/>
          <w:numId w:val="2"/>
        </w:numPr>
        <w:jc w:val="both"/>
        <w:rPr>
          <w:rFonts w:ascii="Arial" w:hAnsi="Arial"/>
          <w:sz w:val="20"/>
          <w:szCs w:val="20"/>
        </w:rPr>
      </w:pPr>
      <w:r w:rsidRPr="000624BF">
        <w:rPr>
          <w:rFonts w:ascii="Arial" w:hAnsi="Arial"/>
          <w:sz w:val="20"/>
          <w:szCs w:val="20"/>
        </w:rPr>
        <w:t>lo stanziamento di incentivi economici riguardanti il risparmio energetico e l’impiego di fonti di energia rinnovabili;</w:t>
      </w:r>
    </w:p>
    <w:p w:rsidR="00AD2C2A" w:rsidRPr="000624BF" w:rsidRDefault="00AD2C2A" w:rsidP="00AD2C2A">
      <w:pPr>
        <w:numPr>
          <w:ilvl w:val="0"/>
          <w:numId w:val="2"/>
        </w:numPr>
        <w:jc w:val="both"/>
        <w:rPr>
          <w:rFonts w:ascii="Arial" w:hAnsi="Arial"/>
          <w:sz w:val="20"/>
          <w:szCs w:val="20"/>
        </w:rPr>
      </w:pPr>
      <w:r w:rsidRPr="000624BF">
        <w:rPr>
          <w:rFonts w:ascii="Arial" w:hAnsi="Arial"/>
          <w:sz w:val="20"/>
          <w:szCs w:val="20"/>
        </w:rPr>
        <w:t>l’acquisto da parte dell’Amministrazione di energia elettrica da fonte rinnovabile;</w:t>
      </w:r>
    </w:p>
    <w:p w:rsidR="00AD2C2A" w:rsidRPr="000624BF" w:rsidRDefault="00AD2C2A" w:rsidP="00AD2C2A">
      <w:pPr>
        <w:numPr>
          <w:ilvl w:val="0"/>
          <w:numId w:val="2"/>
        </w:numPr>
        <w:jc w:val="both"/>
        <w:rPr>
          <w:rFonts w:ascii="Arial" w:hAnsi="Arial"/>
          <w:sz w:val="20"/>
          <w:szCs w:val="20"/>
        </w:rPr>
      </w:pPr>
      <w:r w:rsidRPr="000624BF">
        <w:rPr>
          <w:rFonts w:ascii="Arial" w:hAnsi="Arial"/>
          <w:sz w:val="20"/>
          <w:szCs w:val="20"/>
        </w:rPr>
        <w:t>la realizzazione di una banca dati degli edifici certificati;</w:t>
      </w:r>
    </w:p>
    <w:p w:rsidR="00AD2C2A" w:rsidRPr="000624BF" w:rsidRDefault="00AD2C2A" w:rsidP="00AD2C2A">
      <w:pPr>
        <w:numPr>
          <w:ilvl w:val="0"/>
          <w:numId w:val="2"/>
        </w:numPr>
        <w:jc w:val="both"/>
        <w:rPr>
          <w:rFonts w:ascii="Arial" w:hAnsi="Arial"/>
          <w:sz w:val="20"/>
          <w:szCs w:val="20"/>
        </w:rPr>
      </w:pPr>
      <w:r w:rsidRPr="000624BF">
        <w:rPr>
          <w:rFonts w:ascii="Arial" w:hAnsi="Arial"/>
          <w:sz w:val="20"/>
          <w:szCs w:val="20"/>
        </w:rPr>
        <w:lastRenderedPageBreak/>
        <w:t>l’esistenza dell’energy manager per l’Amministrazione Comunale;</w:t>
      </w:r>
    </w:p>
    <w:p w:rsidR="00AD2C2A" w:rsidRPr="000624BF" w:rsidRDefault="00AD2C2A" w:rsidP="00AD2C2A">
      <w:pPr>
        <w:numPr>
          <w:ilvl w:val="0"/>
          <w:numId w:val="2"/>
        </w:numPr>
        <w:jc w:val="both"/>
        <w:rPr>
          <w:rFonts w:ascii="Arial" w:hAnsi="Arial"/>
          <w:sz w:val="20"/>
          <w:szCs w:val="20"/>
        </w:rPr>
      </w:pPr>
      <w:r w:rsidRPr="000624BF">
        <w:rPr>
          <w:rFonts w:ascii="Arial" w:hAnsi="Arial"/>
          <w:sz w:val="20"/>
          <w:szCs w:val="20"/>
        </w:rPr>
        <w:t>la realizzazione di audit energetici degli edifici comunali;</w:t>
      </w:r>
    </w:p>
    <w:p w:rsidR="00AD2C2A" w:rsidRPr="000624BF" w:rsidRDefault="00AD2C2A" w:rsidP="00AD2C2A">
      <w:pPr>
        <w:numPr>
          <w:ilvl w:val="0"/>
          <w:numId w:val="2"/>
        </w:numPr>
        <w:jc w:val="both"/>
        <w:rPr>
          <w:rFonts w:ascii="Arial" w:hAnsi="Arial"/>
          <w:sz w:val="20"/>
          <w:szCs w:val="20"/>
        </w:rPr>
      </w:pPr>
      <w:r w:rsidRPr="000624BF">
        <w:rPr>
          <w:rFonts w:ascii="Arial" w:hAnsi="Arial"/>
          <w:sz w:val="20"/>
          <w:szCs w:val="20"/>
        </w:rPr>
        <w:t>la realizzazione di interventi di risparmio energetico su edifici comunali post-audit.</w:t>
      </w:r>
    </w:p>
    <w:p w:rsidR="00AD2C2A" w:rsidRPr="000624BF" w:rsidRDefault="00AD2C2A" w:rsidP="00AD2C2A">
      <w:pPr>
        <w:jc w:val="both"/>
        <w:rPr>
          <w:rFonts w:ascii="Arial" w:hAnsi="Arial"/>
          <w:sz w:val="20"/>
          <w:szCs w:val="20"/>
        </w:rPr>
      </w:pPr>
    </w:p>
    <w:p w:rsidR="00AD2C2A" w:rsidRPr="000624BF" w:rsidRDefault="00AD2C2A" w:rsidP="00AD2C2A">
      <w:pPr>
        <w:jc w:val="both"/>
        <w:rPr>
          <w:rFonts w:ascii="Arial" w:hAnsi="Arial"/>
          <w:sz w:val="20"/>
          <w:szCs w:val="20"/>
        </w:rPr>
      </w:pPr>
      <w:r w:rsidRPr="000624BF">
        <w:rPr>
          <w:rFonts w:ascii="Arial" w:hAnsi="Arial"/>
          <w:sz w:val="20"/>
          <w:szCs w:val="20"/>
        </w:rPr>
        <w:t>Nella valutazione complessiva delle politiche adottate, quattro città (Bologna, Bolzano, Ferrara e Rimini) raggiungono il punteggio massimo di 100, che significa la totale predisposizione delle politiche e degli interventi considerati dall’indice; a seguire si trovano altre dieci città, due in più rispetto lo scorso anno, che ottengono un punteggio al di sopra degli 85 punti (Bergamo, Bolzano, Ferrara, Rimini, Livorno, Parma, Potenza, Torino, Trento e Udine), segno di un generale aumento dell’attenzione nei confronti di questa tematica.</w:t>
      </w:r>
    </w:p>
    <w:p w:rsidR="00AD2C2A" w:rsidRPr="000624BF" w:rsidRDefault="00AD2C2A" w:rsidP="00AD2C2A">
      <w:pPr>
        <w:jc w:val="both"/>
        <w:rPr>
          <w:rFonts w:ascii="Arial" w:hAnsi="Arial"/>
          <w:sz w:val="20"/>
          <w:szCs w:val="20"/>
        </w:rPr>
      </w:pPr>
      <w:r w:rsidRPr="000624BF">
        <w:rPr>
          <w:rFonts w:ascii="Arial" w:hAnsi="Arial"/>
          <w:sz w:val="20"/>
          <w:szCs w:val="20"/>
        </w:rPr>
        <w:t>Per quanto riguarda le singole misure, 48 comuni segnalano la presenza dell’energy manager, 28 hanno introdotto negli strumenti urbanistici norme o disposizioni per il risparmio energetico e la diffusione di fonti di energia rinnovabili, 30 hanno acquistato energia prodotta da fonti rinnovabili, 23 (dato stabile) hanno realizzato una banca dati degli edifici certificati, 39 hanno effettuato audit energetici e 28 interventi di risparmio energetico su edifici comunali.</w:t>
      </w:r>
    </w:p>
    <w:p w:rsidR="00AD2C2A" w:rsidRPr="000624BF" w:rsidRDefault="00AD2C2A" w:rsidP="00AD2C2A"/>
    <w:p w:rsidR="00AD2C2A" w:rsidRPr="000624BF" w:rsidRDefault="00AD2C2A" w:rsidP="00AD2C2A">
      <w:pPr>
        <w:jc w:val="both"/>
        <w:rPr>
          <w:rFonts w:ascii="Arial" w:hAnsi="Arial"/>
          <w:sz w:val="20"/>
          <w:szCs w:val="20"/>
        </w:rPr>
      </w:pPr>
    </w:p>
    <w:p w:rsidR="00AD2C2A" w:rsidRPr="000624BF" w:rsidRDefault="00AD2C2A" w:rsidP="00AD2C2A">
      <w:pPr>
        <w:numPr>
          <w:ilvl w:val="0"/>
          <w:numId w:val="22"/>
        </w:numPr>
        <w:jc w:val="both"/>
        <w:rPr>
          <w:rFonts w:ascii="Arial" w:hAnsi="Arial"/>
          <w:b/>
        </w:rPr>
      </w:pPr>
      <w:r w:rsidRPr="000624BF">
        <w:rPr>
          <w:rFonts w:ascii="Arial" w:hAnsi="Arial"/>
          <w:b/>
        </w:rPr>
        <w:t xml:space="preserve"> Certificazioni ambientali: Iso 14001</w:t>
      </w:r>
    </w:p>
    <w:p w:rsidR="00AD2C2A" w:rsidRPr="000624BF" w:rsidRDefault="00AD2C2A" w:rsidP="00AD2C2A">
      <w:pPr>
        <w:jc w:val="both"/>
        <w:rPr>
          <w:rFonts w:ascii="Arial" w:hAnsi="Arial"/>
        </w:rPr>
      </w:pPr>
      <w:r w:rsidRPr="000624BF">
        <w:rPr>
          <w:rFonts w:ascii="Arial" w:hAnsi="Arial"/>
          <w:i/>
        </w:rPr>
        <w:t xml:space="preserve"> (N° certificazioni Iso 14001 ogni 1.000 imprese attive – valore provinciale; fonte Sincert e Infocamere, 2013)</w:t>
      </w:r>
    </w:p>
    <w:p w:rsidR="00AD2C2A" w:rsidRPr="000624BF" w:rsidRDefault="00AD2C2A" w:rsidP="00AD2C2A">
      <w:pPr>
        <w:jc w:val="both"/>
        <w:rPr>
          <w:rFonts w:ascii="Arial" w:hAnsi="Arial"/>
          <w:sz w:val="10"/>
          <w:szCs w:val="10"/>
        </w:rPr>
      </w:pPr>
    </w:p>
    <w:p w:rsidR="00AD2C2A" w:rsidRPr="000624BF" w:rsidRDefault="00AD2C2A" w:rsidP="00AD2C2A">
      <w:pPr>
        <w:jc w:val="both"/>
        <w:rPr>
          <w:rFonts w:ascii="Arial" w:hAnsi="Arial"/>
          <w:sz w:val="20"/>
          <w:szCs w:val="20"/>
        </w:rPr>
      </w:pPr>
      <w:r w:rsidRPr="000624BF">
        <w:rPr>
          <w:rFonts w:ascii="Arial" w:hAnsi="Arial"/>
          <w:sz w:val="20"/>
          <w:szCs w:val="20"/>
        </w:rPr>
        <w:t>La certificazione del sistema di gestione ambientale ISO 14001, così come l’EMAS (disponibile per un numero più ridotto di organizzazioni), costituisce un indicatore in grado di determinare il livello di innovazione e attenzione all’ambiente da parte delle imprese, ma anche delle pubbliche amministrazioni.</w:t>
      </w:r>
    </w:p>
    <w:p w:rsidR="00AD2C2A" w:rsidRPr="000624BF" w:rsidRDefault="00AD2C2A" w:rsidP="00AD2C2A">
      <w:pPr>
        <w:jc w:val="both"/>
        <w:rPr>
          <w:rFonts w:ascii="Arial" w:hAnsi="Arial"/>
          <w:sz w:val="20"/>
          <w:szCs w:val="20"/>
        </w:rPr>
      </w:pPr>
      <w:r w:rsidRPr="000624BF">
        <w:rPr>
          <w:rFonts w:ascii="Arial" w:hAnsi="Arial"/>
          <w:sz w:val="20"/>
          <w:szCs w:val="20"/>
        </w:rPr>
        <w:t>L’indicatore si basato sulle rilevazioni Accredia</w:t>
      </w:r>
      <w:r w:rsidRPr="000624BF">
        <w:rPr>
          <w:rStyle w:val="Rimandonotaapidipagina"/>
          <w:sz w:val="20"/>
          <w:szCs w:val="20"/>
        </w:rPr>
        <w:footnoteReference w:id="6"/>
      </w:r>
      <w:r w:rsidRPr="000624BF">
        <w:rPr>
          <w:rFonts w:ascii="Arial" w:hAnsi="Arial"/>
          <w:sz w:val="20"/>
          <w:szCs w:val="20"/>
        </w:rPr>
        <w:t xml:space="preserve"> ad agosto 2013 e rapporta il numero di siti certificati ISO </w:t>
      </w:r>
      <w:smartTag w:uri="urn:schemas-microsoft-com:office:smarttags" w:element="metricconverter">
        <w:smartTagPr>
          <w:attr w:name="ProductID" w:val="14001 in"/>
        </w:smartTagPr>
        <w:r w:rsidRPr="000624BF">
          <w:rPr>
            <w:rFonts w:ascii="Arial" w:hAnsi="Arial"/>
            <w:sz w:val="20"/>
            <w:szCs w:val="20"/>
          </w:rPr>
          <w:t>14001 in</w:t>
        </w:r>
      </w:smartTag>
      <w:r w:rsidRPr="000624BF">
        <w:rPr>
          <w:rFonts w:ascii="Arial" w:hAnsi="Arial"/>
          <w:sz w:val="20"/>
          <w:szCs w:val="20"/>
        </w:rPr>
        <w:t xml:space="preserve"> ciascuna provincia al numero di imprese attive presenti sul territorio (dato Infocamere riferito al 31 dicembre 2012). Allo stato attuale risultano certificate 17.049 organizzazioni, </w:t>
      </w:r>
      <w:smartTag w:uri="urn:schemas-microsoft-com:office:smarttags" w:element="metricconverter">
        <w:smartTagPr>
          <w:attr w:name="ProductID" w:val="1.707 in"/>
        </w:smartTagPr>
        <w:r w:rsidRPr="000624BF">
          <w:rPr>
            <w:rFonts w:ascii="Arial" w:hAnsi="Arial"/>
            <w:sz w:val="20"/>
            <w:szCs w:val="20"/>
          </w:rPr>
          <w:t>1.707 in</w:t>
        </w:r>
      </w:smartTag>
      <w:r w:rsidRPr="000624BF">
        <w:rPr>
          <w:rFonts w:ascii="Arial" w:hAnsi="Arial"/>
          <w:sz w:val="20"/>
          <w:szCs w:val="20"/>
        </w:rPr>
        <w:t xml:space="preserve"> più rispetto allo scorso anno. Questo continuo incremento del numero di siti certificati conferma il trend positivo degli anni passati e pone l'Italia ai primissimi posti a livello mondiale per numero di imprese certificate. </w:t>
      </w:r>
    </w:p>
    <w:p w:rsidR="00AD2C2A" w:rsidRPr="000624BF" w:rsidRDefault="00AD2C2A" w:rsidP="00AD2C2A">
      <w:pPr>
        <w:jc w:val="both"/>
        <w:rPr>
          <w:rFonts w:ascii="Arial" w:hAnsi="Arial"/>
          <w:sz w:val="20"/>
          <w:szCs w:val="20"/>
        </w:rPr>
      </w:pPr>
      <w:r w:rsidRPr="000624BF">
        <w:rPr>
          <w:rFonts w:ascii="Arial" w:hAnsi="Arial"/>
          <w:sz w:val="20"/>
          <w:szCs w:val="20"/>
        </w:rPr>
        <w:t>Le migliori performance italiane, nelle tre categorie in cui sono suddivise le città, si registrano a Trieste con 4,92 certificazioni ogni 1.000 imprese, Ravenna con 9,37 e Aosta con 9,06. Inoltre sono presenti altri undici capoluoghi (Livorno, Trento, Sondrio, Isernia, Belluno, Verbania, Gorizia, Pordenone e Chieti) che superano la soglia delle 5 certificazioni ogni 1.000 imprese.</w:t>
      </w:r>
    </w:p>
    <w:p w:rsidR="00AD2C2A" w:rsidRPr="000624BF" w:rsidRDefault="00AD2C2A" w:rsidP="00AD2C2A">
      <w:pPr>
        <w:jc w:val="both"/>
        <w:rPr>
          <w:rFonts w:ascii="Arial" w:hAnsi="Arial"/>
        </w:rPr>
      </w:pPr>
    </w:p>
    <w:p w:rsidR="00AD2C2A" w:rsidRPr="000624BF" w:rsidRDefault="00AD2C2A" w:rsidP="00AD2C2A">
      <w:pPr>
        <w:jc w:val="both"/>
        <w:rPr>
          <w:rFonts w:ascii="Arial" w:hAnsi="Arial"/>
        </w:rPr>
      </w:pPr>
    </w:p>
    <w:p w:rsidR="00AD2C2A" w:rsidRPr="000624BF" w:rsidRDefault="00AD2C2A" w:rsidP="00AD2C2A">
      <w:pPr>
        <w:numPr>
          <w:ilvl w:val="0"/>
          <w:numId w:val="22"/>
        </w:numPr>
        <w:jc w:val="both"/>
        <w:rPr>
          <w:rFonts w:ascii="Arial" w:hAnsi="Arial"/>
          <w:b/>
        </w:rPr>
      </w:pPr>
      <w:r w:rsidRPr="000624BF">
        <w:rPr>
          <w:rFonts w:ascii="Arial" w:hAnsi="Arial"/>
          <w:b/>
        </w:rPr>
        <w:t>Pianificazione e partecipazione ambientale</w:t>
      </w:r>
    </w:p>
    <w:p w:rsidR="00AD2C2A" w:rsidRPr="000624BF" w:rsidRDefault="00AD2C2A" w:rsidP="00AD2C2A">
      <w:pPr>
        <w:jc w:val="both"/>
        <w:rPr>
          <w:rFonts w:ascii="Arial" w:hAnsi="Arial"/>
          <w:i/>
        </w:rPr>
      </w:pPr>
      <w:r w:rsidRPr="000624BF">
        <w:rPr>
          <w:rFonts w:ascii="Arial" w:hAnsi="Arial"/>
          <w:i/>
        </w:rPr>
        <w:t xml:space="preserve"> (Indice (massimo 100) composto da: progettazione partecipata, bilancio ambientale e sociale; redazione della Zonizzazione acustica, del Piano Urbano del Traffico (PUT), del Piano Energetico Comunale (PEC) e del Piano d’Azione per l’Energia Sostenibile (PAES); fonte: Ecosistema Urbano XIX)</w:t>
      </w:r>
    </w:p>
    <w:p w:rsidR="00AD2C2A" w:rsidRPr="000624BF" w:rsidRDefault="00AD2C2A" w:rsidP="00AD2C2A">
      <w:pPr>
        <w:jc w:val="both"/>
        <w:rPr>
          <w:rFonts w:ascii="Arial" w:hAnsi="Arial"/>
          <w:i/>
          <w:sz w:val="10"/>
          <w:szCs w:val="10"/>
        </w:rPr>
      </w:pPr>
    </w:p>
    <w:p w:rsidR="00AD2C2A" w:rsidRPr="000624BF" w:rsidRDefault="00AD2C2A" w:rsidP="00AD2C2A">
      <w:pPr>
        <w:jc w:val="both"/>
        <w:rPr>
          <w:rFonts w:ascii="Arial" w:hAnsi="Arial"/>
          <w:sz w:val="20"/>
          <w:szCs w:val="20"/>
        </w:rPr>
      </w:pPr>
      <w:r w:rsidRPr="000624BF">
        <w:rPr>
          <w:rFonts w:ascii="Arial" w:hAnsi="Arial"/>
          <w:sz w:val="20"/>
          <w:szCs w:val="20"/>
        </w:rPr>
        <w:t>Come anticipato nella introduzione, da questa edizione, Istat e Legambiente hanno unificato il questionario sull’Eco management e la partecipazione che viene inviato unicamente da Istat.. Non essendo presente ad oggi l’elaborazione dei dati raccolti, viene quindi utilizzato l’indice pubblicato nella scorsa edizione di Ecosistema Urbano di cui si riporta integralmente il commento.</w:t>
      </w:r>
    </w:p>
    <w:p w:rsidR="00AD2C2A" w:rsidRPr="000624BF" w:rsidRDefault="00AD2C2A" w:rsidP="00AD2C2A">
      <w:pPr>
        <w:jc w:val="both"/>
        <w:rPr>
          <w:rFonts w:ascii="Arial" w:hAnsi="Arial"/>
          <w:sz w:val="20"/>
          <w:szCs w:val="20"/>
        </w:rPr>
      </w:pPr>
    </w:p>
    <w:p w:rsidR="00AD2C2A" w:rsidRPr="000624BF" w:rsidRDefault="00AD2C2A" w:rsidP="00AD2C2A">
      <w:pPr>
        <w:jc w:val="both"/>
        <w:rPr>
          <w:rFonts w:ascii="Arial" w:hAnsi="Arial"/>
          <w:i/>
          <w:sz w:val="20"/>
          <w:szCs w:val="20"/>
        </w:rPr>
      </w:pPr>
      <w:r w:rsidRPr="000624BF">
        <w:rPr>
          <w:rFonts w:ascii="Arial" w:hAnsi="Arial"/>
          <w:i/>
          <w:sz w:val="20"/>
          <w:szCs w:val="20"/>
        </w:rPr>
        <w:t xml:space="preserve">“L’indice sintetico “Pianificazione e partecipazione ambientale” (da </w:t>
      </w:r>
      <w:smartTag w:uri="urn:schemas-microsoft-com:office:smarttags" w:element="metricconverter">
        <w:smartTagPr>
          <w:attr w:name="ProductID" w:val="0 a"/>
        </w:smartTagPr>
        <w:r w:rsidRPr="000624BF">
          <w:rPr>
            <w:rFonts w:ascii="Arial" w:hAnsi="Arial"/>
            <w:i/>
            <w:sz w:val="20"/>
            <w:szCs w:val="20"/>
          </w:rPr>
          <w:t>0 a</w:t>
        </w:r>
      </w:smartTag>
      <w:r w:rsidRPr="000624BF">
        <w:rPr>
          <w:rFonts w:ascii="Arial" w:hAnsi="Arial"/>
          <w:i/>
          <w:sz w:val="20"/>
          <w:szCs w:val="20"/>
        </w:rPr>
        <w:t xml:space="preserve"> 100) verifica il livello di pianificazione attraverso la redazione di diversi strumenti, quali:</w:t>
      </w:r>
    </w:p>
    <w:p w:rsidR="00AD2C2A" w:rsidRPr="000624BF" w:rsidRDefault="00AD2C2A" w:rsidP="00AD2C2A">
      <w:pPr>
        <w:numPr>
          <w:ilvl w:val="0"/>
          <w:numId w:val="2"/>
        </w:numPr>
        <w:jc w:val="both"/>
        <w:rPr>
          <w:rFonts w:ascii="Arial" w:hAnsi="Arial"/>
          <w:i/>
          <w:sz w:val="20"/>
          <w:szCs w:val="20"/>
        </w:rPr>
      </w:pPr>
      <w:smartTag w:uri="urn:schemas-microsoft-com:office:smarttags" w:element="PersonName">
        <w:smartTagPr>
          <w:attr w:name="ProductID" w:val="la Zonizzazione"/>
        </w:smartTagPr>
        <w:r w:rsidRPr="000624BF">
          <w:rPr>
            <w:rFonts w:ascii="Arial" w:hAnsi="Arial"/>
            <w:i/>
            <w:sz w:val="20"/>
            <w:szCs w:val="20"/>
          </w:rPr>
          <w:t>la Zonizzazione</w:t>
        </w:r>
      </w:smartTag>
      <w:r w:rsidRPr="000624BF">
        <w:rPr>
          <w:rFonts w:ascii="Arial" w:hAnsi="Arial"/>
          <w:i/>
          <w:sz w:val="20"/>
          <w:szCs w:val="20"/>
        </w:rPr>
        <w:t xml:space="preserve"> acustica;</w:t>
      </w:r>
    </w:p>
    <w:p w:rsidR="00AD2C2A" w:rsidRPr="000624BF" w:rsidRDefault="00AD2C2A" w:rsidP="00AD2C2A">
      <w:pPr>
        <w:numPr>
          <w:ilvl w:val="0"/>
          <w:numId w:val="2"/>
        </w:numPr>
        <w:jc w:val="both"/>
        <w:rPr>
          <w:rFonts w:ascii="Arial" w:hAnsi="Arial"/>
          <w:i/>
          <w:sz w:val="20"/>
          <w:szCs w:val="20"/>
        </w:rPr>
      </w:pPr>
      <w:r w:rsidRPr="000624BF">
        <w:rPr>
          <w:rFonts w:ascii="Arial" w:hAnsi="Arial"/>
          <w:i/>
          <w:sz w:val="20"/>
          <w:szCs w:val="20"/>
        </w:rPr>
        <w:t>il Piano Urbano del Traffico (PUT);</w:t>
      </w:r>
    </w:p>
    <w:p w:rsidR="00AD2C2A" w:rsidRPr="000624BF" w:rsidRDefault="00AD2C2A" w:rsidP="00AD2C2A">
      <w:pPr>
        <w:numPr>
          <w:ilvl w:val="0"/>
          <w:numId w:val="2"/>
        </w:numPr>
        <w:jc w:val="both"/>
        <w:rPr>
          <w:rFonts w:ascii="Arial" w:hAnsi="Arial"/>
          <w:i/>
          <w:sz w:val="20"/>
          <w:szCs w:val="20"/>
        </w:rPr>
      </w:pPr>
      <w:r w:rsidRPr="000624BF">
        <w:rPr>
          <w:rFonts w:ascii="Arial" w:hAnsi="Arial"/>
          <w:i/>
          <w:sz w:val="20"/>
          <w:szCs w:val="20"/>
        </w:rPr>
        <w:t>il Piano Energetico Comunale (PEC);</w:t>
      </w:r>
    </w:p>
    <w:p w:rsidR="00AD2C2A" w:rsidRPr="000624BF" w:rsidRDefault="00AD2C2A" w:rsidP="00AD2C2A">
      <w:pPr>
        <w:numPr>
          <w:ilvl w:val="0"/>
          <w:numId w:val="2"/>
        </w:numPr>
        <w:jc w:val="both"/>
        <w:rPr>
          <w:rFonts w:ascii="Arial" w:hAnsi="Arial"/>
          <w:i/>
          <w:sz w:val="20"/>
          <w:szCs w:val="20"/>
        </w:rPr>
      </w:pPr>
      <w:r w:rsidRPr="000624BF">
        <w:rPr>
          <w:rFonts w:ascii="Arial" w:hAnsi="Arial"/>
          <w:i/>
          <w:sz w:val="20"/>
          <w:szCs w:val="20"/>
        </w:rPr>
        <w:t>il Piano d’Azione per l’Energia Sostenibile (PAES), quest’ultimo Piano è stato introdotto solo l’anno scorso per valorizzare quelle amministrazioni comunali che si sono impegnate a ridurre le proprie emissioni di CO</w:t>
      </w:r>
      <w:r w:rsidRPr="000624BF">
        <w:rPr>
          <w:rFonts w:ascii="Arial" w:hAnsi="Arial"/>
          <w:i/>
          <w:sz w:val="20"/>
          <w:szCs w:val="20"/>
          <w:vertAlign w:val="subscript"/>
        </w:rPr>
        <w:t>2</w:t>
      </w:r>
      <w:r w:rsidRPr="000624BF">
        <w:rPr>
          <w:rFonts w:ascii="Arial" w:hAnsi="Arial"/>
          <w:i/>
          <w:sz w:val="20"/>
          <w:szCs w:val="20"/>
        </w:rPr>
        <w:t xml:space="preserve"> equivalenti secondo quanto indicato dal Patto dei Sindaci promosso dall’Unione Europea.</w:t>
      </w:r>
    </w:p>
    <w:p w:rsidR="00AD2C2A" w:rsidRPr="000624BF" w:rsidRDefault="00AD2C2A" w:rsidP="00AD2C2A">
      <w:pPr>
        <w:jc w:val="both"/>
        <w:rPr>
          <w:rFonts w:ascii="Arial" w:hAnsi="Arial"/>
          <w:i/>
          <w:sz w:val="20"/>
          <w:szCs w:val="20"/>
        </w:rPr>
      </w:pPr>
    </w:p>
    <w:p w:rsidR="00AD2C2A" w:rsidRPr="000624BF" w:rsidRDefault="00AD2C2A" w:rsidP="00AD2C2A">
      <w:pPr>
        <w:jc w:val="both"/>
        <w:rPr>
          <w:rFonts w:ascii="Arial" w:hAnsi="Arial"/>
          <w:i/>
          <w:sz w:val="20"/>
          <w:szCs w:val="20"/>
        </w:rPr>
      </w:pPr>
      <w:r w:rsidRPr="000624BF">
        <w:rPr>
          <w:rFonts w:ascii="Arial" w:hAnsi="Arial"/>
          <w:i/>
          <w:sz w:val="20"/>
          <w:szCs w:val="20"/>
        </w:rPr>
        <w:lastRenderedPageBreak/>
        <w:t>In merito alla capacità delle pubbliche amministrazioni di adottare iniziative di informazione e coinvolgimento attivo dei cittadini nei processi legati alla sostenibilità, l’indice considera anche la realizzazione di ulteriori politiche e azioni:</w:t>
      </w:r>
    </w:p>
    <w:p w:rsidR="00AD2C2A" w:rsidRPr="000624BF" w:rsidRDefault="00AD2C2A" w:rsidP="00AD2C2A">
      <w:pPr>
        <w:numPr>
          <w:ilvl w:val="0"/>
          <w:numId w:val="2"/>
        </w:numPr>
        <w:jc w:val="both"/>
        <w:rPr>
          <w:rFonts w:ascii="Arial" w:hAnsi="Arial"/>
          <w:i/>
          <w:sz w:val="20"/>
          <w:szCs w:val="20"/>
        </w:rPr>
      </w:pPr>
      <w:r w:rsidRPr="000624BF">
        <w:rPr>
          <w:rFonts w:ascii="Arial" w:hAnsi="Arial"/>
          <w:i/>
          <w:sz w:val="20"/>
          <w:szCs w:val="20"/>
        </w:rPr>
        <w:t>percorsi di progettazione partecipata;</w:t>
      </w:r>
    </w:p>
    <w:p w:rsidR="00AD2C2A" w:rsidRPr="000624BF" w:rsidRDefault="00AD2C2A" w:rsidP="00AD2C2A">
      <w:pPr>
        <w:numPr>
          <w:ilvl w:val="0"/>
          <w:numId w:val="2"/>
        </w:numPr>
        <w:jc w:val="both"/>
        <w:rPr>
          <w:rFonts w:ascii="Arial" w:hAnsi="Arial"/>
          <w:i/>
          <w:sz w:val="20"/>
          <w:szCs w:val="20"/>
        </w:rPr>
      </w:pPr>
      <w:r w:rsidRPr="000624BF">
        <w:rPr>
          <w:rFonts w:ascii="Arial" w:hAnsi="Arial"/>
          <w:i/>
          <w:sz w:val="20"/>
          <w:szCs w:val="20"/>
        </w:rPr>
        <w:t>la redazione del Bilancio ambientale o del Rapporto ambientale;</w:t>
      </w:r>
    </w:p>
    <w:p w:rsidR="00AD2C2A" w:rsidRPr="000624BF" w:rsidRDefault="00AD2C2A" w:rsidP="00AD2C2A">
      <w:pPr>
        <w:numPr>
          <w:ilvl w:val="0"/>
          <w:numId w:val="2"/>
        </w:numPr>
        <w:jc w:val="both"/>
        <w:rPr>
          <w:rFonts w:ascii="Arial" w:hAnsi="Arial"/>
          <w:i/>
          <w:sz w:val="20"/>
          <w:szCs w:val="20"/>
        </w:rPr>
      </w:pPr>
      <w:r w:rsidRPr="000624BF">
        <w:rPr>
          <w:rFonts w:ascii="Arial" w:hAnsi="Arial"/>
          <w:i/>
          <w:sz w:val="20"/>
          <w:szCs w:val="20"/>
        </w:rPr>
        <w:t>la redazione del Bilancio sociale.</w:t>
      </w:r>
    </w:p>
    <w:p w:rsidR="00AD2C2A" w:rsidRPr="000624BF" w:rsidRDefault="00AD2C2A" w:rsidP="00AD2C2A">
      <w:pPr>
        <w:jc w:val="both"/>
        <w:rPr>
          <w:rFonts w:ascii="Arial" w:hAnsi="Arial"/>
          <w:i/>
          <w:sz w:val="20"/>
          <w:szCs w:val="20"/>
        </w:rPr>
      </w:pPr>
    </w:p>
    <w:p w:rsidR="00AD2C2A" w:rsidRPr="000624BF" w:rsidRDefault="00AD2C2A" w:rsidP="00AD2C2A">
      <w:pPr>
        <w:jc w:val="both"/>
        <w:rPr>
          <w:rFonts w:ascii="Arial" w:hAnsi="Arial"/>
          <w:i/>
          <w:sz w:val="20"/>
          <w:szCs w:val="20"/>
        </w:rPr>
      </w:pPr>
      <w:r w:rsidRPr="000624BF">
        <w:rPr>
          <w:rFonts w:ascii="Arial" w:hAnsi="Arial"/>
          <w:i/>
          <w:sz w:val="20"/>
          <w:szCs w:val="20"/>
        </w:rPr>
        <w:t>Nella valutazione complessiva delle politiche adottate fra le grandi città aumenta il numero di chi ottiene il massimo punteggio e che, dunque, ha adottato tutte le misure che concorrono alla formazione dell’indice; si tratta di:,</w:t>
      </w:r>
      <w:r w:rsidRPr="000624BF">
        <w:rPr>
          <w:i/>
        </w:rPr>
        <w:t xml:space="preserve"> </w:t>
      </w:r>
      <w:r w:rsidRPr="000624BF">
        <w:rPr>
          <w:rFonts w:ascii="Arial" w:hAnsi="Arial"/>
          <w:i/>
          <w:sz w:val="20"/>
          <w:szCs w:val="20"/>
        </w:rPr>
        <w:t>Bologna, Firenze, Padova e Roma, mentre, a seguire si trovano Torino (88 punti), Bari, Genova, Napoli e Venezia, (tutte con 75 punti).</w:t>
      </w:r>
    </w:p>
    <w:p w:rsidR="00AD2C2A" w:rsidRPr="000624BF" w:rsidRDefault="00AD2C2A" w:rsidP="00AD2C2A">
      <w:pPr>
        <w:jc w:val="both"/>
        <w:rPr>
          <w:rFonts w:ascii="Arial" w:hAnsi="Arial"/>
          <w:i/>
          <w:sz w:val="20"/>
          <w:szCs w:val="20"/>
        </w:rPr>
      </w:pPr>
      <w:r w:rsidRPr="000624BF">
        <w:rPr>
          <w:rFonts w:ascii="Arial" w:hAnsi="Arial"/>
          <w:i/>
          <w:sz w:val="20"/>
          <w:szCs w:val="20"/>
        </w:rPr>
        <w:t>Anche per quanto riguarda le città medie si è avuto un incremento dei capoluoghi che hanno raggiunto il punteggio massimo (Forlì, Modena, Ravenna e Reggio Emilia) e, a seguire, altre 8 città con almeno 75 punti (Bergamo, La Spezia, Udine, Ferrara, Foggia, Perugia, Piacenza e Trento).</w:t>
      </w:r>
    </w:p>
    <w:p w:rsidR="00AD2C2A" w:rsidRPr="000624BF" w:rsidRDefault="00AD2C2A" w:rsidP="00AD2C2A">
      <w:pPr>
        <w:jc w:val="both"/>
        <w:rPr>
          <w:rFonts w:ascii="Arial" w:hAnsi="Arial"/>
          <w:i/>
          <w:sz w:val="20"/>
          <w:szCs w:val="20"/>
        </w:rPr>
      </w:pPr>
      <w:r w:rsidRPr="000624BF">
        <w:rPr>
          <w:rFonts w:ascii="Arial" w:hAnsi="Arial"/>
          <w:i/>
          <w:sz w:val="20"/>
          <w:szCs w:val="20"/>
        </w:rPr>
        <w:t>Tra le città di piccole dimensioni solo Lodi raggiunge il valore massimo di 100.</w:t>
      </w:r>
    </w:p>
    <w:p w:rsidR="00AD2C2A" w:rsidRPr="000624BF" w:rsidRDefault="00AD2C2A" w:rsidP="00AD2C2A">
      <w:pPr>
        <w:jc w:val="both"/>
        <w:rPr>
          <w:rFonts w:ascii="Arial" w:hAnsi="Arial"/>
          <w:i/>
          <w:sz w:val="20"/>
          <w:szCs w:val="20"/>
        </w:rPr>
      </w:pPr>
      <w:r w:rsidRPr="000624BF">
        <w:rPr>
          <w:rFonts w:ascii="Arial" w:hAnsi="Arial"/>
          <w:i/>
          <w:sz w:val="20"/>
          <w:szCs w:val="20"/>
        </w:rPr>
        <w:t>Scendendo nel dettaglio dei diversi parametri considerati, 59 città indicano l’attivazione di percorsi di progettazione partecipata, 36 hanno redatto il Bilancio o Rapporto ambientale e 49 quello sociale, registrando un generale incremento di questo tipo di iniziative.</w:t>
      </w:r>
    </w:p>
    <w:p w:rsidR="00AD2C2A" w:rsidRPr="000624BF" w:rsidRDefault="00AD2C2A" w:rsidP="00AD2C2A">
      <w:pPr>
        <w:jc w:val="both"/>
        <w:rPr>
          <w:rFonts w:ascii="Arial" w:hAnsi="Arial"/>
          <w:i/>
          <w:sz w:val="20"/>
          <w:szCs w:val="20"/>
        </w:rPr>
      </w:pPr>
      <w:r w:rsidRPr="000624BF">
        <w:rPr>
          <w:rFonts w:ascii="Arial" w:hAnsi="Arial"/>
          <w:i/>
          <w:sz w:val="20"/>
          <w:szCs w:val="20"/>
        </w:rPr>
        <w:t>Per quanto riguarda invece gli strumenti di pianificazione, si contano 91 amministrazioni che hanno redatto il PUT (obbligatorio per i comuni con più di 30.000 abitanti), 47 il PEC (obbligatorio invece per i comuni con più di 50.000 abitanti), 72 la zonizzazione acustica e 23 comuni (dato in aumento) il PAES”.</w:t>
      </w:r>
    </w:p>
    <w:p w:rsidR="00AD2C2A" w:rsidRPr="000624BF" w:rsidRDefault="00AD2C2A" w:rsidP="00AD2C2A">
      <w:pPr>
        <w:jc w:val="both"/>
        <w:rPr>
          <w:sz w:val="18"/>
        </w:rPr>
      </w:pPr>
    </w:p>
    <w:p w:rsidR="00AD2C2A" w:rsidRPr="000624BF" w:rsidRDefault="00AD2C2A" w:rsidP="00AD2C2A">
      <w:pPr>
        <w:jc w:val="both"/>
        <w:rPr>
          <w:sz w:val="18"/>
        </w:rPr>
      </w:pPr>
    </w:p>
    <w:p w:rsidR="00AD2C2A" w:rsidRPr="000624BF" w:rsidRDefault="00AD2C2A" w:rsidP="00AD2C2A">
      <w:pPr>
        <w:numPr>
          <w:ilvl w:val="0"/>
          <w:numId w:val="22"/>
        </w:numPr>
        <w:jc w:val="both"/>
        <w:rPr>
          <w:rFonts w:ascii="Arial" w:hAnsi="Arial"/>
          <w:b/>
        </w:rPr>
      </w:pPr>
      <w:r w:rsidRPr="000624BF">
        <w:rPr>
          <w:rFonts w:ascii="Arial" w:hAnsi="Arial"/>
          <w:b/>
        </w:rPr>
        <w:t xml:space="preserve"> Eco management</w:t>
      </w:r>
    </w:p>
    <w:p w:rsidR="00AD2C2A" w:rsidRPr="000624BF" w:rsidRDefault="00AD2C2A" w:rsidP="00AD2C2A">
      <w:pPr>
        <w:jc w:val="both"/>
        <w:rPr>
          <w:rFonts w:ascii="Arial" w:hAnsi="Arial"/>
          <w:i/>
        </w:rPr>
      </w:pPr>
      <w:r w:rsidRPr="000624BF">
        <w:rPr>
          <w:rFonts w:ascii="Arial" w:hAnsi="Arial"/>
          <w:i/>
        </w:rPr>
        <w:t>(Indice (massimo 100) composto da: utilizzo di carta riciclata negli uffici comunali, auto comunali ecologiche, prodotti equo&amp;solidali, certificazione ambientale del Comune, raccolta differenziata all’interno del Comune, procedure di acquisto verdi per le forniture del Comune; fonte: Ecosistema Urbano XIX)</w:t>
      </w:r>
    </w:p>
    <w:p w:rsidR="00AD2C2A" w:rsidRPr="000624BF" w:rsidRDefault="00AD2C2A" w:rsidP="00AD2C2A">
      <w:pPr>
        <w:jc w:val="both"/>
        <w:rPr>
          <w:rFonts w:ascii="Arial" w:hAnsi="Arial"/>
          <w:i/>
          <w:sz w:val="10"/>
          <w:szCs w:val="10"/>
        </w:rPr>
      </w:pPr>
    </w:p>
    <w:p w:rsidR="00AD2C2A" w:rsidRPr="000624BF" w:rsidRDefault="00AD2C2A" w:rsidP="00AD2C2A">
      <w:pPr>
        <w:jc w:val="both"/>
        <w:rPr>
          <w:rFonts w:ascii="Arial" w:hAnsi="Arial"/>
          <w:i/>
          <w:sz w:val="20"/>
          <w:szCs w:val="20"/>
        </w:rPr>
      </w:pPr>
    </w:p>
    <w:p w:rsidR="00AD2C2A" w:rsidRPr="000624BF" w:rsidRDefault="00AD2C2A" w:rsidP="00AD2C2A">
      <w:pPr>
        <w:jc w:val="both"/>
        <w:rPr>
          <w:rFonts w:ascii="Arial" w:hAnsi="Arial"/>
          <w:sz w:val="20"/>
          <w:szCs w:val="20"/>
        </w:rPr>
      </w:pPr>
      <w:r w:rsidRPr="000624BF">
        <w:rPr>
          <w:rFonts w:ascii="Arial" w:hAnsi="Arial"/>
          <w:sz w:val="20"/>
          <w:szCs w:val="20"/>
        </w:rPr>
        <w:t>Come per il precedente Indice da questa edizione, Istat e Legambiente hanno unificato il questionario sull’Eco management e la partecipazione che viene inviato unicamente da Istat.. Non essendo presente ad oggi l’elaborazione dei dati raccolti, viene quindi utilizzato l’indice pubblicato nella scorsa edizione di Ecosistema Urbano di cui si riporta integralmente il commento.</w:t>
      </w:r>
    </w:p>
    <w:p w:rsidR="00AD2C2A" w:rsidRPr="000624BF" w:rsidRDefault="00AD2C2A" w:rsidP="00AD2C2A">
      <w:pPr>
        <w:jc w:val="both"/>
        <w:rPr>
          <w:rFonts w:ascii="Arial" w:hAnsi="Arial"/>
          <w:i/>
          <w:sz w:val="20"/>
          <w:szCs w:val="20"/>
        </w:rPr>
      </w:pPr>
    </w:p>
    <w:p w:rsidR="00AD2C2A" w:rsidRPr="000624BF" w:rsidRDefault="00AD2C2A" w:rsidP="00AD2C2A">
      <w:pPr>
        <w:jc w:val="both"/>
        <w:rPr>
          <w:rFonts w:ascii="Arial" w:hAnsi="Arial"/>
          <w:i/>
          <w:sz w:val="20"/>
          <w:szCs w:val="20"/>
        </w:rPr>
      </w:pPr>
      <w:r w:rsidRPr="000624BF">
        <w:rPr>
          <w:rFonts w:ascii="Arial" w:hAnsi="Arial"/>
          <w:i/>
          <w:sz w:val="20"/>
          <w:szCs w:val="20"/>
        </w:rPr>
        <w:t>“L'indice sintetico ”Eco management” (espresso in valori su una scala da 0 a 100) ha lo scopo di misurare la capacità delle pubbliche amministrazioni di rispondere adeguatamente alle criticità ambientali attraverso la messa in opera di scelte di gestione innovative all’interno delle proprie strutture.</w:t>
      </w:r>
    </w:p>
    <w:p w:rsidR="00AD2C2A" w:rsidRPr="000624BF" w:rsidRDefault="00AD2C2A" w:rsidP="00AD2C2A">
      <w:pPr>
        <w:jc w:val="both"/>
        <w:rPr>
          <w:rFonts w:ascii="Arial" w:hAnsi="Arial"/>
          <w:i/>
          <w:sz w:val="20"/>
          <w:szCs w:val="20"/>
        </w:rPr>
      </w:pPr>
      <w:r w:rsidRPr="000624BF">
        <w:rPr>
          <w:rFonts w:ascii="Arial" w:hAnsi="Arial"/>
          <w:i/>
          <w:sz w:val="20"/>
          <w:szCs w:val="20"/>
        </w:rPr>
        <w:t>I parametri considerati (e pesati differentemente) si riferiscono proprio al ventaglio di scelte operabili dalle amministrazioni, ovvero:</w:t>
      </w:r>
    </w:p>
    <w:p w:rsidR="00AD2C2A" w:rsidRPr="000624BF" w:rsidRDefault="00AD2C2A" w:rsidP="00AD2C2A">
      <w:pPr>
        <w:numPr>
          <w:ilvl w:val="0"/>
          <w:numId w:val="2"/>
        </w:numPr>
        <w:jc w:val="both"/>
        <w:rPr>
          <w:rFonts w:ascii="Arial" w:hAnsi="Arial"/>
          <w:i/>
          <w:sz w:val="20"/>
          <w:szCs w:val="20"/>
        </w:rPr>
      </w:pPr>
      <w:r w:rsidRPr="000624BF">
        <w:rPr>
          <w:rFonts w:ascii="Arial" w:hAnsi="Arial"/>
          <w:i/>
          <w:sz w:val="20"/>
          <w:szCs w:val="20"/>
        </w:rPr>
        <w:t>la certificazione Emas o ISO 14001 dell’Amministrazione comunale;</w:t>
      </w:r>
    </w:p>
    <w:p w:rsidR="00AD2C2A" w:rsidRPr="000624BF" w:rsidRDefault="00AD2C2A" w:rsidP="00AD2C2A">
      <w:pPr>
        <w:numPr>
          <w:ilvl w:val="0"/>
          <w:numId w:val="2"/>
        </w:numPr>
        <w:jc w:val="both"/>
        <w:rPr>
          <w:rFonts w:ascii="Arial" w:hAnsi="Arial"/>
          <w:i/>
          <w:sz w:val="20"/>
          <w:szCs w:val="20"/>
        </w:rPr>
      </w:pPr>
      <w:r w:rsidRPr="000624BF">
        <w:rPr>
          <w:rFonts w:ascii="Arial" w:hAnsi="Arial"/>
          <w:i/>
          <w:sz w:val="20"/>
          <w:szCs w:val="20"/>
        </w:rPr>
        <w:t>l’utilizzo di carta riciclata negli uffici comunali;</w:t>
      </w:r>
    </w:p>
    <w:p w:rsidR="00AD2C2A" w:rsidRPr="000624BF" w:rsidRDefault="00AD2C2A" w:rsidP="00AD2C2A">
      <w:pPr>
        <w:numPr>
          <w:ilvl w:val="0"/>
          <w:numId w:val="2"/>
        </w:numPr>
        <w:jc w:val="both"/>
        <w:rPr>
          <w:rFonts w:ascii="Arial" w:hAnsi="Arial"/>
          <w:i/>
          <w:sz w:val="20"/>
          <w:szCs w:val="20"/>
        </w:rPr>
      </w:pPr>
      <w:r w:rsidRPr="000624BF">
        <w:rPr>
          <w:rFonts w:ascii="Arial" w:hAnsi="Arial"/>
          <w:i/>
          <w:sz w:val="20"/>
          <w:szCs w:val="20"/>
        </w:rPr>
        <w:t>la presenza di auto ecologiche (gpl, a metano o elettriche) nel parco auto dell’Amministrazione comunale;</w:t>
      </w:r>
    </w:p>
    <w:p w:rsidR="00AD2C2A" w:rsidRPr="000624BF" w:rsidRDefault="00AD2C2A" w:rsidP="00AD2C2A">
      <w:pPr>
        <w:numPr>
          <w:ilvl w:val="0"/>
          <w:numId w:val="2"/>
        </w:numPr>
        <w:jc w:val="both"/>
        <w:rPr>
          <w:rFonts w:ascii="Arial" w:hAnsi="Arial"/>
          <w:i/>
          <w:sz w:val="20"/>
          <w:szCs w:val="20"/>
        </w:rPr>
      </w:pPr>
      <w:r w:rsidRPr="000624BF">
        <w:rPr>
          <w:rFonts w:ascii="Arial" w:hAnsi="Arial"/>
          <w:i/>
          <w:sz w:val="20"/>
          <w:szCs w:val="20"/>
        </w:rPr>
        <w:t>l’acquisto di prodotti equi&amp;solidali;</w:t>
      </w:r>
    </w:p>
    <w:p w:rsidR="00AD2C2A" w:rsidRPr="000624BF" w:rsidRDefault="00AD2C2A" w:rsidP="00AD2C2A">
      <w:pPr>
        <w:numPr>
          <w:ilvl w:val="0"/>
          <w:numId w:val="2"/>
        </w:numPr>
        <w:jc w:val="both"/>
        <w:rPr>
          <w:rFonts w:ascii="Arial" w:hAnsi="Arial"/>
          <w:i/>
          <w:sz w:val="20"/>
          <w:szCs w:val="20"/>
        </w:rPr>
      </w:pPr>
      <w:r w:rsidRPr="000624BF">
        <w:rPr>
          <w:rFonts w:ascii="Arial" w:hAnsi="Arial"/>
          <w:i/>
          <w:sz w:val="20"/>
          <w:szCs w:val="20"/>
        </w:rPr>
        <w:t>l’introduzione di criteri ecologici nelle procedure di acquisto dell’Amministrazione comunale (acquisti verdi – GPP);</w:t>
      </w:r>
    </w:p>
    <w:p w:rsidR="00AD2C2A" w:rsidRPr="000624BF" w:rsidRDefault="00AD2C2A" w:rsidP="00AD2C2A">
      <w:pPr>
        <w:numPr>
          <w:ilvl w:val="0"/>
          <w:numId w:val="2"/>
        </w:numPr>
        <w:jc w:val="both"/>
        <w:rPr>
          <w:rFonts w:ascii="Arial" w:hAnsi="Arial"/>
          <w:i/>
          <w:sz w:val="20"/>
          <w:szCs w:val="20"/>
        </w:rPr>
      </w:pPr>
      <w:r w:rsidRPr="000624BF">
        <w:rPr>
          <w:rFonts w:ascii="Arial" w:hAnsi="Arial"/>
          <w:i/>
          <w:sz w:val="20"/>
          <w:szCs w:val="20"/>
        </w:rPr>
        <w:t>la presenza di un sistema di raccolta differenziata all’interno degli uffici comunali.</w:t>
      </w:r>
    </w:p>
    <w:p w:rsidR="00AD2C2A" w:rsidRPr="000624BF" w:rsidRDefault="00AD2C2A" w:rsidP="00AD2C2A">
      <w:pPr>
        <w:jc w:val="both"/>
        <w:rPr>
          <w:rFonts w:ascii="Arial" w:hAnsi="Arial"/>
          <w:sz w:val="20"/>
          <w:szCs w:val="20"/>
        </w:rPr>
      </w:pPr>
    </w:p>
    <w:p w:rsidR="00AD2C2A" w:rsidRPr="000624BF" w:rsidRDefault="00AD2C2A" w:rsidP="00AD2C2A">
      <w:pPr>
        <w:jc w:val="both"/>
        <w:rPr>
          <w:rFonts w:ascii="Arial" w:hAnsi="Arial"/>
          <w:i/>
          <w:sz w:val="20"/>
          <w:szCs w:val="20"/>
        </w:rPr>
      </w:pPr>
      <w:r w:rsidRPr="000624BF">
        <w:rPr>
          <w:rFonts w:ascii="Arial" w:hAnsi="Arial"/>
          <w:i/>
          <w:sz w:val="20"/>
          <w:szCs w:val="20"/>
        </w:rPr>
        <w:t xml:space="preserve">Analogamente alla passata edizione nessuna città italiana raggiunge il punteggio massimo di 100, ma, generalmente, i risultati più alti sono conseguiti dai comuni di medie dimensioni, in particolare Ferrara, che ottiene 86,3 punti.  Per quanto riguarda le altre categorie di città, troviamo Mantova a 80 punti e Padova a 57. Nel complesso, solamente 17 capoluoghi (comunque </w:t>
      </w:r>
      <w:smartTag w:uri="urn:schemas-microsoft-com:office:smarttags" w:element="metricconverter">
        <w:smartTagPr>
          <w:attr w:name="ProductID" w:val="10 in"/>
        </w:smartTagPr>
        <w:r w:rsidRPr="000624BF">
          <w:rPr>
            <w:rFonts w:ascii="Arial" w:hAnsi="Arial"/>
            <w:i/>
            <w:sz w:val="20"/>
            <w:szCs w:val="20"/>
          </w:rPr>
          <w:t>10 in</w:t>
        </w:r>
      </w:smartTag>
      <w:r w:rsidRPr="000624BF">
        <w:rPr>
          <w:rFonts w:ascii="Arial" w:hAnsi="Arial"/>
          <w:i/>
          <w:sz w:val="20"/>
          <w:szCs w:val="20"/>
        </w:rPr>
        <w:t xml:space="preserve"> più rispetto alla passata edizione) superano la soglia dei 50 punti, mentre scende a uno (Catanzaro) il numero dei comuni che non hanno attivato nemmeno una delle misure contenute in questo indice, indicando un trend positivo nell’adozione di strategie ad hoc nel rispetto dell’ambiente da parte delle Amministrazioni comunali.</w:t>
      </w:r>
    </w:p>
    <w:p w:rsidR="00AD2C2A" w:rsidRPr="000624BF" w:rsidRDefault="00AD2C2A" w:rsidP="00AD2C2A">
      <w:pPr>
        <w:jc w:val="both"/>
        <w:rPr>
          <w:rFonts w:ascii="Arial" w:hAnsi="Arial"/>
          <w:i/>
          <w:sz w:val="20"/>
          <w:szCs w:val="20"/>
        </w:rPr>
      </w:pPr>
      <w:r w:rsidRPr="000624BF">
        <w:rPr>
          <w:rFonts w:ascii="Arial" w:hAnsi="Arial"/>
          <w:i/>
          <w:sz w:val="20"/>
          <w:szCs w:val="20"/>
        </w:rPr>
        <w:t>Uno sguardo ai dati per le singole pratiche permette di avere una visione più completa della situazione: 32 comuni hanno almeno il 25% del parco auto composto da veicoli ecologici (auto a metano, gpl o elettriche), 49 utilizzano carta riciclata per almeno il 50% del loro fabbisogno, 68 effettuano la raccolta differenziata per almeno 3 categorie merceologiche distinte, 24 acquistano prodotti equo&amp;solidali (unico parametro per cui si registra una flessione).</w:t>
      </w:r>
    </w:p>
    <w:p w:rsidR="00AD2C2A" w:rsidRPr="000624BF" w:rsidRDefault="00AD2C2A" w:rsidP="00AD2C2A">
      <w:pPr>
        <w:jc w:val="both"/>
        <w:rPr>
          <w:rFonts w:ascii="Arial" w:hAnsi="Arial"/>
          <w:i/>
          <w:sz w:val="20"/>
          <w:szCs w:val="20"/>
        </w:rPr>
      </w:pPr>
      <w:r w:rsidRPr="000624BF">
        <w:rPr>
          <w:rFonts w:ascii="Arial" w:hAnsi="Arial"/>
          <w:i/>
          <w:sz w:val="20"/>
          <w:szCs w:val="20"/>
        </w:rPr>
        <w:lastRenderedPageBreak/>
        <w:t>Infine si registra un incremento, sebbene leggero, anche per le città che hanno ottenuto una certificazione ISO14001 o EMAS per l’intera amministrazione comunale: sono infatti 10 (Alessandria, Aosta, Belluno, Chieti, Ferrara, Imperia, Mantova, Ravenna, Savona e Udine)”.</w:t>
      </w:r>
    </w:p>
    <w:p w:rsidR="00AD2C2A" w:rsidRPr="000624BF" w:rsidRDefault="00AD2C2A" w:rsidP="00AD2C2A">
      <w:pPr>
        <w:jc w:val="both"/>
        <w:rPr>
          <w:rFonts w:ascii="Arial" w:hAnsi="Arial"/>
          <w:sz w:val="20"/>
          <w:szCs w:val="20"/>
        </w:rPr>
      </w:pPr>
    </w:p>
    <w:p w:rsidR="00AD2C2A" w:rsidRPr="000624BF" w:rsidRDefault="00AD2C2A" w:rsidP="00AD2C2A">
      <w:pPr>
        <w:jc w:val="both"/>
        <w:rPr>
          <w:sz w:val="18"/>
          <w:szCs w:val="18"/>
        </w:rPr>
      </w:pPr>
    </w:p>
    <w:p w:rsidR="00AD2C2A" w:rsidRPr="000624BF" w:rsidRDefault="00AD2C2A" w:rsidP="00AD2C2A">
      <w:pPr>
        <w:jc w:val="both"/>
        <w:rPr>
          <w:sz w:val="18"/>
          <w:szCs w:val="18"/>
        </w:rPr>
      </w:pPr>
      <w:r w:rsidRPr="000624BF">
        <w:rPr>
          <w:rFonts w:ascii="Arial" w:hAnsi="Arial"/>
          <w:b/>
        </w:rPr>
        <w:t>2</w:t>
      </w:r>
      <w:r w:rsidR="00607F7D">
        <w:rPr>
          <w:rFonts w:ascii="Arial" w:hAnsi="Arial"/>
          <w:b/>
        </w:rPr>
        <w:t>7</w:t>
      </w:r>
      <w:r w:rsidRPr="000624BF">
        <w:rPr>
          <w:rFonts w:ascii="Arial" w:hAnsi="Arial"/>
          <w:b/>
        </w:rPr>
        <w:t>. Capacità di risposta</w:t>
      </w:r>
    </w:p>
    <w:p w:rsidR="00AD2C2A" w:rsidRPr="000624BF" w:rsidRDefault="00AD2C2A" w:rsidP="00AD2C2A">
      <w:pPr>
        <w:jc w:val="both"/>
        <w:rPr>
          <w:rFonts w:ascii="Arial" w:hAnsi="Arial" w:cs="Arial"/>
          <w:iCs/>
          <w:sz w:val="10"/>
          <w:szCs w:val="10"/>
        </w:rPr>
      </w:pPr>
    </w:p>
    <w:p w:rsidR="00AD2C2A" w:rsidRPr="000624BF" w:rsidRDefault="00AD2C2A" w:rsidP="00AD2C2A">
      <w:pPr>
        <w:jc w:val="both"/>
        <w:rPr>
          <w:rFonts w:ascii="Arial" w:hAnsi="Arial"/>
          <w:sz w:val="20"/>
          <w:szCs w:val="20"/>
        </w:rPr>
      </w:pPr>
      <w:r w:rsidRPr="000624BF">
        <w:rPr>
          <w:rFonts w:ascii="Arial" w:hAnsi="Arial"/>
          <w:sz w:val="20"/>
          <w:szCs w:val="20"/>
        </w:rPr>
        <w:t xml:space="preserve">La </w:t>
      </w:r>
      <w:r w:rsidRPr="000624BF">
        <w:rPr>
          <w:rFonts w:ascii="Arial" w:hAnsi="Arial"/>
          <w:bCs/>
          <w:sz w:val="20"/>
          <w:szCs w:val="20"/>
        </w:rPr>
        <w:t>capacità di risposta</w:t>
      </w:r>
      <w:r w:rsidRPr="000624BF">
        <w:rPr>
          <w:rFonts w:ascii="Arial" w:hAnsi="Arial"/>
          <w:sz w:val="20"/>
          <w:szCs w:val="20"/>
        </w:rPr>
        <w:t xml:space="preserve"> dei comuni al questionario inviato da Legambiente, sia in termini di schede consegnate, sia in termini di effettive risposte assegnate su tutti i 122 parametri, rimane anche quest’anno un criterio premiante. È assegnato solo laddove siano presenti almeno </w:t>
      </w:r>
      <w:smartTag w:uri="urn:schemas-microsoft-com:office:smarttags" w:element="PersonName">
        <w:smartTagPr>
          <w:attr w:name="ProductID" w:val="i 2"/>
        </w:smartTagPr>
        <w:r w:rsidRPr="000624BF">
          <w:rPr>
            <w:rFonts w:ascii="Arial" w:hAnsi="Arial"/>
            <w:sz w:val="20"/>
            <w:szCs w:val="20"/>
          </w:rPr>
          <w:t>i 2</w:t>
        </w:r>
      </w:smartTag>
      <w:r w:rsidRPr="000624BF">
        <w:rPr>
          <w:rFonts w:ascii="Arial" w:hAnsi="Arial"/>
          <w:sz w:val="20"/>
          <w:szCs w:val="20"/>
        </w:rPr>
        <w:t xml:space="preserve">/3 degli indicatori e vale fino ad un massimo di due punti percentuali del punteggio totale. </w:t>
      </w:r>
    </w:p>
    <w:p w:rsidR="00AD2C2A" w:rsidRPr="000624BF" w:rsidRDefault="00AD2C2A" w:rsidP="00AD2C2A">
      <w:pPr>
        <w:jc w:val="both"/>
        <w:rPr>
          <w:rFonts w:ascii="Arial" w:hAnsi="Arial"/>
          <w:sz w:val="20"/>
          <w:szCs w:val="20"/>
        </w:rPr>
      </w:pPr>
      <w:r w:rsidRPr="000624BF">
        <w:rPr>
          <w:rFonts w:ascii="Arial" w:hAnsi="Arial"/>
          <w:sz w:val="20"/>
          <w:szCs w:val="20"/>
        </w:rPr>
        <w:t xml:space="preserve">Tra le città grandi Padova e Torino ottengono il punteggio massimo di 100% e altre otto raggiungono un punteggio superiore al 90%, Tra le medie Alessandria, Terni e Trento ottengono il 100% e altre 23 superano il 90%, mentre 2 città Pescara e Brindisi ottengono un punteggio inferiore al 30% e Cagliari è ferma allo 0% non avendo consegnato alcuna scheda. Tra le città piccole in 17 superano il 90% (di cui solo Vercelli ottiene il 100%), mentre quattro (Caserta, Isernia, Massa e Vibo Valentia) non hanno inviato alcuna scheda e altre quattro (Nuoro, Sondrio, Agrigento e Viterbo) si attestano al di sotto del 30%. </w:t>
      </w:r>
    </w:p>
    <w:p w:rsidR="00AD2C2A" w:rsidRPr="000624BF" w:rsidRDefault="00AD2C2A" w:rsidP="00AD2C2A">
      <w:pPr>
        <w:jc w:val="both"/>
        <w:rPr>
          <w:rFonts w:ascii="Arial" w:hAnsi="Arial"/>
          <w:sz w:val="20"/>
          <w:szCs w:val="20"/>
        </w:rPr>
      </w:pPr>
      <w:r w:rsidRPr="000624BF">
        <w:rPr>
          <w:rFonts w:ascii="Arial" w:hAnsi="Arial"/>
          <w:bCs/>
          <w:sz w:val="20"/>
          <w:szCs w:val="20"/>
        </w:rPr>
        <w:t xml:space="preserve">In questa XX edizione, per i dati non disponibili attraverso il questionario sono stati utilizzati quelli della XIX e XVIII edizione di Ecosistema Urbano (per gli indici dove ciò è possibile). </w:t>
      </w:r>
      <w:r w:rsidRPr="000624BF">
        <w:rPr>
          <w:rFonts w:ascii="Arial" w:hAnsi="Arial"/>
          <w:sz w:val="20"/>
          <w:szCs w:val="20"/>
        </w:rPr>
        <w:t>Per tutti i comuni si è così riusciti a elaborare l'indice complessivo di valutazione di Ecosistema Urbano. Per 51 città è stato possibile calcolare tutti gli indicatori otto, per altre 26 è stato possibile calcolare più del 90% degli indicatori. Si deve ricordare che alcuni indicatori (come le misure di PM10, NO</w:t>
      </w:r>
      <w:r w:rsidRPr="000624BF">
        <w:rPr>
          <w:rFonts w:ascii="Arial" w:hAnsi="Arial"/>
          <w:sz w:val="20"/>
          <w:szCs w:val="20"/>
          <w:vertAlign w:val="subscript"/>
        </w:rPr>
        <w:t xml:space="preserve">2 </w:t>
      </w:r>
      <w:r w:rsidRPr="000624BF">
        <w:rPr>
          <w:rFonts w:ascii="Arial" w:hAnsi="Arial"/>
          <w:sz w:val="20"/>
          <w:szCs w:val="20"/>
        </w:rPr>
        <w:t>e O</w:t>
      </w:r>
      <w:r w:rsidRPr="000624BF">
        <w:rPr>
          <w:rFonts w:ascii="Arial" w:hAnsi="Arial"/>
          <w:sz w:val="20"/>
          <w:szCs w:val="20"/>
          <w:vertAlign w:val="subscript"/>
        </w:rPr>
        <w:t>3</w:t>
      </w:r>
      <w:r w:rsidRPr="000624BF">
        <w:rPr>
          <w:rFonts w:ascii="Arial" w:hAnsi="Arial"/>
          <w:sz w:val="20"/>
          <w:szCs w:val="20"/>
        </w:rPr>
        <w:t>) non possono ovviamente essere disponibili laddove non sussiste un sistema di monitoraggio.</w:t>
      </w:r>
    </w:p>
    <w:p w:rsidR="00AD2C2A" w:rsidRDefault="00AD2C2A" w:rsidP="00AD2C2A">
      <w:pPr>
        <w:jc w:val="both"/>
        <w:rPr>
          <w:sz w:val="20"/>
          <w:szCs w:val="20"/>
        </w:rPr>
      </w:pPr>
      <w:r w:rsidRPr="000624BF">
        <w:rPr>
          <w:rFonts w:ascii="Arial" w:hAnsi="Arial"/>
          <w:sz w:val="20"/>
          <w:szCs w:val="20"/>
        </w:rPr>
        <w:t>Si ricorda, infine che Cagliari, Caserta, Isernia, Massa e Vibo Valentia non hanno inviato alcuna scheda, ma sono state comunque inserite utilizzando i dati della ultime due edizioni di Ecosistema Urbano e i dati di fonte terza.</w:t>
      </w:r>
    </w:p>
    <w:p w:rsidR="00E36E2B" w:rsidRDefault="00E36E2B"/>
    <w:sectPr w:rsidR="00E36E2B" w:rsidSect="003B3EA5">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690" w:rsidRDefault="00B83690" w:rsidP="00E36E2B">
      <w:r>
        <w:separator/>
      </w:r>
    </w:p>
  </w:endnote>
  <w:endnote w:type="continuationSeparator" w:id="0">
    <w:p w:rsidR="00B83690" w:rsidRDefault="00B83690" w:rsidP="00E36E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PLLKJ+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690" w:rsidRDefault="00B83690" w:rsidP="00E36E2B">
      <w:r>
        <w:separator/>
      </w:r>
    </w:p>
  </w:footnote>
  <w:footnote w:type="continuationSeparator" w:id="0">
    <w:p w:rsidR="00B83690" w:rsidRDefault="00B83690" w:rsidP="00E36E2B">
      <w:r>
        <w:continuationSeparator/>
      </w:r>
    </w:p>
  </w:footnote>
  <w:footnote w:id="1">
    <w:p w:rsidR="00E36E2B" w:rsidRPr="000A6A26" w:rsidRDefault="00E36E2B" w:rsidP="00E36E2B">
      <w:pPr>
        <w:rPr>
          <w:rFonts w:ascii="Arial" w:hAnsi="Arial"/>
          <w:sz w:val="16"/>
          <w:lang w:val="it-CH"/>
        </w:rPr>
      </w:pPr>
      <w:r w:rsidRPr="000A6A26">
        <w:rPr>
          <w:rStyle w:val="Rimandonotaapidipagina"/>
          <w:sz w:val="16"/>
        </w:rPr>
        <w:footnoteRef/>
      </w:r>
      <w:r w:rsidRPr="000A6A26">
        <w:rPr>
          <w:rFonts w:ascii="Arial" w:hAnsi="Arial"/>
        </w:rPr>
        <w:t xml:space="preserve"> </w:t>
      </w:r>
      <w:r w:rsidRPr="000A6A26">
        <w:rPr>
          <w:rFonts w:ascii="Arial" w:hAnsi="Arial"/>
          <w:sz w:val="16"/>
          <w:lang w:val="it-CH"/>
        </w:rPr>
        <w:t xml:space="preserve">Pari a 40 </w:t>
      </w:r>
      <w:r w:rsidRPr="000A6A26">
        <w:rPr>
          <w:rFonts w:ascii="Arial" w:hAnsi="Arial"/>
          <w:sz w:val="16"/>
          <w:lang w:val="it-CH"/>
        </w:rPr>
        <w:sym w:font="Symbol" w:char="F06D"/>
      </w:r>
      <w:r w:rsidRPr="000A6A26">
        <w:rPr>
          <w:rFonts w:ascii="Arial" w:hAnsi="Arial"/>
          <w:sz w:val="16"/>
          <w:lang w:val="it-CH"/>
        </w:rPr>
        <w:t xml:space="preserve">g/mc al 2010, </w:t>
      </w:r>
      <w:r>
        <w:rPr>
          <w:rFonts w:ascii="Arial" w:hAnsi="Arial"/>
          <w:sz w:val="16"/>
          <w:lang w:val="it-CH"/>
        </w:rPr>
        <w:t>l</w:t>
      </w:r>
      <w:r w:rsidRPr="00EA5B48">
        <w:rPr>
          <w:rFonts w:ascii="Arial" w:hAnsi="Arial"/>
          <w:sz w:val="16"/>
          <w:lang w:val="it-CH"/>
        </w:rPr>
        <w:t xml:space="preserve">imite previsto dal Decreto Legislativo 155 del </w:t>
      </w:r>
      <w:smartTag w:uri="urn:schemas-microsoft-com:office:smarttags" w:element="metricconverter">
        <w:smartTagPr>
          <w:attr w:name="ProductID" w:val="2010 in"/>
        </w:smartTagPr>
        <w:r w:rsidRPr="00EA5B48">
          <w:rPr>
            <w:rFonts w:ascii="Arial" w:hAnsi="Arial"/>
            <w:sz w:val="16"/>
            <w:lang w:val="it-CH"/>
          </w:rPr>
          <w:t>2010 in</w:t>
        </w:r>
      </w:smartTag>
      <w:r w:rsidRPr="00EA5B48">
        <w:rPr>
          <w:rFonts w:ascii="Arial" w:hAnsi="Arial"/>
          <w:sz w:val="16"/>
          <w:lang w:val="it-CH"/>
        </w:rPr>
        <w:t xml:space="preserve"> attuazione della Direttiva Europea 2008/50/CE</w:t>
      </w:r>
      <w:r w:rsidRPr="000A6A26">
        <w:rPr>
          <w:rFonts w:ascii="Arial" w:hAnsi="Arial"/>
          <w:sz w:val="16"/>
          <w:lang w:val="it-CH"/>
        </w:rPr>
        <w:t>.</w:t>
      </w:r>
    </w:p>
  </w:footnote>
  <w:footnote w:id="2">
    <w:p w:rsidR="00E36E2B" w:rsidRPr="00180A5A" w:rsidRDefault="00E36E2B" w:rsidP="00E36E2B">
      <w:pPr>
        <w:pStyle w:val="Testonotaapidipagina"/>
        <w:rPr>
          <w:rFonts w:ascii="Arial" w:hAnsi="Arial" w:cs="Arial"/>
        </w:rPr>
      </w:pPr>
      <w:r w:rsidRPr="00180A5A">
        <w:rPr>
          <w:rStyle w:val="Rimandonotaapidipagina"/>
        </w:rPr>
        <w:footnoteRef/>
      </w:r>
      <w:r w:rsidRPr="00180A5A">
        <w:rPr>
          <w:rFonts w:ascii="Arial" w:hAnsi="Arial" w:cs="Arial"/>
        </w:rPr>
        <w:t xml:space="preserve"> Limite previsto dal Decreto Legislativo </w:t>
      </w:r>
      <w:r>
        <w:rPr>
          <w:rFonts w:ascii="Arial" w:hAnsi="Arial" w:cs="Arial"/>
        </w:rPr>
        <w:t>1</w:t>
      </w:r>
      <w:r w:rsidRPr="00BB0D30">
        <w:rPr>
          <w:rFonts w:ascii="Arial" w:hAnsi="Arial" w:cs="Arial"/>
        </w:rPr>
        <w:t xml:space="preserve">55 del </w:t>
      </w:r>
      <w:smartTag w:uri="urn:schemas-microsoft-com:office:smarttags" w:element="metricconverter">
        <w:smartTagPr>
          <w:attr w:name="ProductID" w:val="2010 in"/>
        </w:smartTagPr>
        <w:r w:rsidRPr="00BB0D30">
          <w:rPr>
            <w:rFonts w:ascii="Arial" w:hAnsi="Arial" w:cs="Arial"/>
          </w:rPr>
          <w:t>2010</w:t>
        </w:r>
        <w:r>
          <w:rPr>
            <w:rFonts w:ascii="Arial" w:hAnsi="Arial" w:cs="Arial"/>
          </w:rPr>
          <w:t xml:space="preserve"> </w:t>
        </w:r>
        <w:r w:rsidRPr="00180A5A">
          <w:rPr>
            <w:rFonts w:ascii="Arial" w:hAnsi="Arial" w:cs="Arial"/>
          </w:rPr>
          <w:t>in</w:t>
        </w:r>
      </w:smartTag>
      <w:r w:rsidRPr="00180A5A">
        <w:rPr>
          <w:rFonts w:ascii="Arial" w:hAnsi="Arial" w:cs="Arial"/>
        </w:rPr>
        <w:t xml:space="preserve"> attuazione della Direttiva Europea 200</w:t>
      </w:r>
      <w:r>
        <w:rPr>
          <w:rFonts w:ascii="Arial" w:hAnsi="Arial" w:cs="Arial"/>
        </w:rPr>
        <w:t>8</w:t>
      </w:r>
      <w:r w:rsidRPr="00180A5A">
        <w:rPr>
          <w:rFonts w:ascii="Arial" w:hAnsi="Arial" w:cs="Arial"/>
        </w:rPr>
        <w:t>/</w:t>
      </w:r>
      <w:r>
        <w:rPr>
          <w:rFonts w:ascii="Arial" w:hAnsi="Arial" w:cs="Arial"/>
        </w:rPr>
        <w:t>50</w:t>
      </w:r>
      <w:r w:rsidRPr="00180A5A">
        <w:rPr>
          <w:rFonts w:ascii="Arial" w:hAnsi="Arial" w:cs="Arial"/>
        </w:rPr>
        <w:t>/CE</w:t>
      </w:r>
      <w:r>
        <w:rPr>
          <w:rFonts w:ascii="Arial" w:hAnsi="Arial" w:cs="Arial"/>
        </w:rPr>
        <w:t>.</w:t>
      </w:r>
    </w:p>
  </w:footnote>
  <w:footnote w:id="3">
    <w:p w:rsidR="00E36E2B" w:rsidRDefault="00E36E2B" w:rsidP="00E36E2B">
      <w:pPr>
        <w:pStyle w:val="Testonotaapidipagina"/>
        <w:jc w:val="both"/>
        <w:rPr>
          <w:rFonts w:ascii="Arial" w:hAnsi="Arial"/>
        </w:rPr>
      </w:pPr>
      <w:r w:rsidRPr="005F71DA">
        <w:rPr>
          <w:rStyle w:val="Rimandonotaapidipagina"/>
        </w:rPr>
        <w:footnoteRef/>
      </w:r>
      <w:r w:rsidRPr="005F71DA">
        <w:rPr>
          <w:rFonts w:ascii="Arial" w:hAnsi="Arial"/>
        </w:rPr>
        <w:t xml:space="preserve"> </w:t>
      </w:r>
      <w:r w:rsidRPr="0056304D">
        <w:rPr>
          <w:rFonts w:ascii="Arial" w:hAnsi="Arial"/>
        </w:rPr>
        <w:t xml:space="preserve">È questo un primo passo di una discussione aperta con alcuni rappresentanti della FIAB (Federazione Italiana </w:t>
      </w:r>
      <w:smartTag w:uri="urn:schemas-microsoft-com:office:smarttags" w:element="PersonName">
        <w:smartTagPr>
          <w:attr w:name="ProductID" w:val="Amici della Bicicletta"/>
        </w:smartTagPr>
        <w:r w:rsidRPr="0056304D">
          <w:rPr>
            <w:rFonts w:ascii="Arial" w:hAnsi="Arial"/>
          </w:rPr>
          <w:t>Amici della Bicicletta</w:t>
        </w:r>
      </w:smartTag>
      <w:r w:rsidRPr="0056304D">
        <w:rPr>
          <w:rFonts w:ascii="Arial" w:hAnsi="Arial"/>
        </w:rPr>
        <w:t>) per cercare di arrivare ad un indice che non si limiti alla sola lunghezza delle piste ciclabili, ma cerchi di includere anche altre informazioni sul grado di “ciclabilità” delle città. In tal senso</w:t>
      </w:r>
      <w:r>
        <w:rPr>
          <w:rFonts w:ascii="Arial" w:hAnsi="Arial"/>
        </w:rPr>
        <w:t>, dalla scorsa edizione,</w:t>
      </w:r>
      <w:r w:rsidRPr="0056304D">
        <w:rPr>
          <w:rFonts w:ascii="Arial" w:hAnsi="Arial"/>
        </w:rPr>
        <w:t xml:space="preserve"> le tipologie di piste ciclabili sono state riviste</w:t>
      </w:r>
      <w:r w:rsidRPr="003A01D9">
        <w:rPr>
          <w:rFonts w:ascii="Arial" w:hAnsi="Arial"/>
          <w:highlight w:val="yellow"/>
        </w:rPr>
        <w:t>.</w:t>
      </w:r>
    </w:p>
  </w:footnote>
  <w:footnote w:id="4">
    <w:p w:rsidR="00AD2C2A" w:rsidRPr="002A0DE2" w:rsidRDefault="00AD2C2A" w:rsidP="00AD2C2A">
      <w:pPr>
        <w:pStyle w:val="Testonotaapidipagina"/>
        <w:rPr>
          <w:rFonts w:ascii="Arial" w:hAnsi="Arial"/>
        </w:rPr>
      </w:pPr>
      <w:r w:rsidRPr="002A0DE2">
        <w:rPr>
          <w:rFonts w:ascii="Arial" w:hAnsi="Arial"/>
          <w:szCs w:val="16"/>
          <w:vertAlign w:val="superscript"/>
        </w:rPr>
        <w:footnoteRef/>
      </w:r>
      <w:r w:rsidRPr="002A0DE2">
        <w:rPr>
          <w:rFonts w:ascii="Arial" w:hAnsi="Arial"/>
        </w:rPr>
        <w:t xml:space="preserve"> Anche in questo caso condivisi con alcuni rappresentanti della FIAB.</w:t>
      </w:r>
    </w:p>
  </w:footnote>
  <w:footnote w:id="5">
    <w:p w:rsidR="00AD2C2A" w:rsidRPr="004F1D56" w:rsidRDefault="00AD2C2A" w:rsidP="00AD2C2A">
      <w:pPr>
        <w:pStyle w:val="Testonotaapidipagina"/>
        <w:jc w:val="both"/>
        <w:rPr>
          <w:rFonts w:ascii="Arial" w:hAnsi="Arial" w:cs="Arial"/>
        </w:rPr>
      </w:pPr>
      <w:r w:rsidRPr="004F1D56">
        <w:rPr>
          <w:rStyle w:val="Rimandonotaapidipagina"/>
        </w:rPr>
        <w:footnoteRef/>
      </w:r>
      <w:r w:rsidRPr="004F1D56">
        <w:rPr>
          <w:rFonts w:ascii="Arial" w:hAnsi="Arial" w:cs="Arial"/>
        </w:rPr>
        <w:t xml:space="preserve"> Poiché il sistema meccanico non è generalmente in grado di misurare il numero di prelievi</w:t>
      </w:r>
      <w:r>
        <w:rPr>
          <w:rFonts w:ascii="Arial" w:hAnsi="Arial" w:cs="Arial"/>
        </w:rPr>
        <w:t>, abbiamo comunque riconosciuto un punteggio minimo a tutte le città con il servizio di bike-sharing. Alle città in grado di fornire dati sui prelievi abbiamo attribuito un punteggio ulteriore in funzione del numero di prelievi ogni 1.000 abitanti.</w:t>
      </w:r>
    </w:p>
  </w:footnote>
  <w:footnote w:id="6">
    <w:p w:rsidR="00AD2C2A" w:rsidRDefault="00AD2C2A" w:rsidP="00AD2C2A">
      <w:pPr>
        <w:pStyle w:val="Pidipagina"/>
        <w:jc w:val="both"/>
      </w:pPr>
      <w:r>
        <w:rPr>
          <w:rStyle w:val="Rimandonotaapidipagina"/>
        </w:rPr>
        <w:footnoteRef/>
      </w:r>
      <w:r>
        <w:t xml:space="preserve"> La banca dati Accredia (Ente Italiano di accreditamento), pur non comprendendo tutte le certificazioni rilasciate in Italia, è da considerarsi la più completa tra quelle esistenti.</w:t>
      </w:r>
    </w:p>
    <w:p w:rsidR="00AD2C2A" w:rsidRDefault="00AD2C2A" w:rsidP="00AD2C2A">
      <w:pPr>
        <w:pStyle w:val="Testonotaapidipagina"/>
        <w:jc w:val="both"/>
      </w:pP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1136"/>
    <w:multiLevelType w:val="hybridMultilevel"/>
    <w:tmpl w:val="FBE87A22"/>
    <w:lvl w:ilvl="0" w:tplc="0410000F">
      <w:start w:val="2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1567941"/>
    <w:multiLevelType w:val="hybridMultilevel"/>
    <w:tmpl w:val="0C7EA11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018625B5"/>
    <w:multiLevelType w:val="multilevel"/>
    <w:tmpl w:val="1084D730"/>
    <w:lvl w:ilvl="0">
      <w:start w:val="1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3515E82"/>
    <w:multiLevelType w:val="hybridMultilevel"/>
    <w:tmpl w:val="7040C154"/>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06E244B6"/>
    <w:multiLevelType w:val="multilevel"/>
    <w:tmpl w:val="EE4C8134"/>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6F47934"/>
    <w:multiLevelType w:val="multilevel"/>
    <w:tmpl w:val="686A19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72842E0"/>
    <w:multiLevelType w:val="hybridMultilevel"/>
    <w:tmpl w:val="AD24CFFE"/>
    <w:lvl w:ilvl="0" w:tplc="37D44CB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078A67E4"/>
    <w:multiLevelType w:val="multilevel"/>
    <w:tmpl w:val="ABBE3A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96B0487"/>
    <w:multiLevelType w:val="multilevel"/>
    <w:tmpl w:val="0D6AF4D8"/>
    <w:lvl w:ilvl="0">
      <w:start w:val="21"/>
      <w:numFmt w:val="decimal"/>
      <w:lvlText w:val="%1."/>
      <w:lvlJc w:val="left"/>
      <w:pPr>
        <w:tabs>
          <w:tab w:val="num" w:pos="360"/>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CCC10A4"/>
    <w:multiLevelType w:val="hybridMultilevel"/>
    <w:tmpl w:val="2796F8B6"/>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11767FF1"/>
    <w:multiLevelType w:val="hybridMultilevel"/>
    <w:tmpl w:val="30DE16FE"/>
    <w:lvl w:ilvl="0" w:tplc="1466015E">
      <w:start w:val="21"/>
      <w:numFmt w:val="decimal"/>
      <w:lvlText w:val="%1."/>
      <w:lvlJc w:val="left"/>
      <w:pPr>
        <w:tabs>
          <w:tab w:val="num" w:pos="360"/>
        </w:tabs>
        <w:ind w:left="39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15550E3D"/>
    <w:multiLevelType w:val="hybridMultilevel"/>
    <w:tmpl w:val="52B8D366"/>
    <w:lvl w:ilvl="0" w:tplc="1F60F694">
      <w:numFmt w:val="bullet"/>
      <w:lvlText w:val=""/>
      <w:lvlJc w:val="left"/>
      <w:pPr>
        <w:tabs>
          <w:tab w:val="num" w:pos="720"/>
        </w:tabs>
        <w:ind w:left="720" w:hanging="360"/>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1A781CD1"/>
    <w:multiLevelType w:val="multilevel"/>
    <w:tmpl w:val="30DE16FE"/>
    <w:lvl w:ilvl="0">
      <w:start w:val="21"/>
      <w:numFmt w:val="decimal"/>
      <w:lvlText w:val="%1."/>
      <w:lvlJc w:val="left"/>
      <w:pPr>
        <w:tabs>
          <w:tab w:val="num" w:pos="360"/>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B652547"/>
    <w:multiLevelType w:val="multilevel"/>
    <w:tmpl w:val="9CE69F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0CB4852"/>
    <w:multiLevelType w:val="hybridMultilevel"/>
    <w:tmpl w:val="7F3C9710"/>
    <w:lvl w:ilvl="0" w:tplc="3D624306">
      <w:start w:val="11"/>
      <w:numFmt w:val="decimal"/>
      <w:lvlText w:val="%1."/>
      <w:lvlJc w:val="left"/>
      <w:pPr>
        <w:tabs>
          <w:tab w:val="num" w:pos="720"/>
        </w:tabs>
        <w:ind w:left="454" w:hanging="9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220542FE"/>
    <w:multiLevelType w:val="hybridMultilevel"/>
    <w:tmpl w:val="8700921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22153144"/>
    <w:multiLevelType w:val="hybridMultilevel"/>
    <w:tmpl w:val="686A197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2772055C"/>
    <w:multiLevelType w:val="multilevel"/>
    <w:tmpl w:val="55E6E972"/>
    <w:lvl w:ilvl="0">
      <w:start w:val="11"/>
      <w:numFmt w:val="decimal"/>
      <w:lvlText w:val="%1."/>
      <w:lvlJc w:val="left"/>
      <w:pPr>
        <w:tabs>
          <w:tab w:val="num" w:pos="360"/>
        </w:tabs>
        <w:ind w:left="94" w:hanging="94"/>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nsid w:val="2EC32749"/>
    <w:multiLevelType w:val="hybridMultilevel"/>
    <w:tmpl w:val="B97C6BF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312178CC"/>
    <w:multiLevelType w:val="hybridMultilevel"/>
    <w:tmpl w:val="52E46D56"/>
    <w:lvl w:ilvl="0" w:tplc="DCFC3442">
      <w:start w:val="1"/>
      <w:numFmt w:val="bullet"/>
      <w:lvlText w:val=""/>
      <w:lvlJc w:val="left"/>
      <w:pPr>
        <w:tabs>
          <w:tab w:val="num" w:pos="720"/>
        </w:tabs>
        <w:ind w:left="720" w:hanging="360"/>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31542E30"/>
    <w:multiLevelType w:val="multilevel"/>
    <w:tmpl w:val="7F3C9710"/>
    <w:lvl w:ilvl="0">
      <w:start w:val="11"/>
      <w:numFmt w:val="decimal"/>
      <w:lvlText w:val="%1."/>
      <w:lvlJc w:val="left"/>
      <w:pPr>
        <w:tabs>
          <w:tab w:val="num" w:pos="720"/>
        </w:tabs>
        <w:ind w:left="454" w:hanging="9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1C8132D"/>
    <w:multiLevelType w:val="hybridMultilevel"/>
    <w:tmpl w:val="2C5E5CE2"/>
    <w:lvl w:ilvl="0" w:tplc="0410000F">
      <w:start w:val="2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337F44C6"/>
    <w:multiLevelType w:val="hybridMultilevel"/>
    <w:tmpl w:val="67DA769E"/>
    <w:lvl w:ilvl="0" w:tplc="B2ACF054">
      <w:start w:val="11"/>
      <w:numFmt w:val="decimal"/>
      <w:lvlText w:val="%1."/>
      <w:lvlJc w:val="left"/>
      <w:pPr>
        <w:tabs>
          <w:tab w:val="num" w:pos="360"/>
        </w:tabs>
        <w:ind w:left="39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nsid w:val="36190CB4"/>
    <w:multiLevelType w:val="singleLevel"/>
    <w:tmpl w:val="2BFA955A"/>
    <w:lvl w:ilvl="0">
      <w:start w:val="1"/>
      <w:numFmt w:val="decimal"/>
      <w:lvlText w:val="(%1)"/>
      <w:lvlJc w:val="left"/>
      <w:pPr>
        <w:tabs>
          <w:tab w:val="num" w:pos="360"/>
        </w:tabs>
        <w:ind w:left="360" w:hanging="360"/>
      </w:pPr>
      <w:rPr>
        <w:rFonts w:hint="default"/>
      </w:rPr>
    </w:lvl>
  </w:abstractNum>
  <w:abstractNum w:abstractNumId="24">
    <w:nsid w:val="386237C9"/>
    <w:multiLevelType w:val="hybridMultilevel"/>
    <w:tmpl w:val="D1D46F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394E267F"/>
    <w:multiLevelType w:val="hybridMultilevel"/>
    <w:tmpl w:val="0D6AF4D8"/>
    <w:lvl w:ilvl="0" w:tplc="25905AA0">
      <w:start w:val="21"/>
      <w:numFmt w:val="decimal"/>
      <w:lvlText w:val="%1."/>
      <w:lvlJc w:val="left"/>
      <w:pPr>
        <w:tabs>
          <w:tab w:val="num" w:pos="360"/>
        </w:tabs>
        <w:ind w:left="39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3C8A2B61"/>
    <w:multiLevelType w:val="hybridMultilevel"/>
    <w:tmpl w:val="22461A2A"/>
    <w:lvl w:ilvl="0" w:tplc="0410000F">
      <w:start w:val="15"/>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nsid w:val="428F28B8"/>
    <w:multiLevelType w:val="hybridMultilevel"/>
    <w:tmpl w:val="D9A0516A"/>
    <w:lvl w:ilvl="0" w:tplc="C3982856">
      <w:start w:val="25"/>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8">
    <w:nsid w:val="431959FA"/>
    <w:multiLevelType w:val="hybridMultilevel"/>
    <w:tmpl w:val="08FE39BA"/>
    <w:lvl w:ilvl="0" w:tplc="FB70C37C">
      <w:start w:val="2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nsid w:val="44326D9E"/>
    <w:multiLevelType w:val="hybridMultilevel"/>
    <w:tmpl w:val="17DEDDFC"/>
    <w:lvl w:ilvl="0" w:tplc="FFFFFFFF">
      <w:start w:val="8"/>
      <w:numFmt w:val="bullet"/>
      <w:lvlText w:val="-"/>
      <w:lvlJc w:val="left"/>
      <w:pPr>
        <w:tabs>
          <w:tab w:val="num" w:pos="720"/>
        </w:tabs>
        <w:ind w:left="720" w:hanging="360"/>
      </w:pPr>
      <w:rPr>
        <w:rFonts w:ascii="Times New Roman" w:eastAsia="Times New Roman" w:hAnsi="Times New Roman" w:cs="Times New Roman" w:hint="default"/>
        <w:b/>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4F083C3E"/>
    <w:multiLevelType w:val="hybridMultilevel"/>
    <w:tmpl w:val="AEC2C9D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52955D9F"/>
    <w:multiLevelType w:val="hybridMultilevel"/>
    <w:tmpl w:val="EE4C8134"/>
    <w:lvl w:ilvl="0" w:tplc="A7E47892">
      <w:start w:val="1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596C3A9E"/>
    <w:multiLevelType w:val="multilevel"/>
    <w:tmpl w:val="91828D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9D61DA8"/>
    <w:multiLevelType w:val="hybridMultilevel"/>
    <w:tmpl w:val="15802BFC"/>
    <w:lvl w:ilvl="0" w:tplc="0410000F">
      <w:start w:val="2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nsid w:val="5BF17F40"/>
    <w:multiLevelType w:val="hybridMultilevel"/>
    <w:tmpl w:val="7526B1C8"/>
    <w:lvl w:ilvl="0" w:tplc="31A847C0">
      <w:start w:val="21"/>
      <w:numFmt w:val="decimal"/>
      <w:lvlText w:val="%1."/>
      <w:lvlJc w:val="left"/>
      <w:pPr>
        <w:tabs>
          <w:tab w:val="num" w:pos="360"/>
        </w:tabs>
        <w:ind w:left="39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nsid w:val="608E773D"/>
    <w:multiLevelType w:val="multilevel"/>
    <w:tmpl w:val="CBD4F780"/>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09D23A3"/>
    <w:multiLevelType w:val="hybridMultilevel"/>
    <w:tmpl w:val="CBD4F780"/>
    <w:lvl w:ilvl="0" w:tplc="29449852">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nsid w:val="619853A6"/>
    <w:multiLevelType w:val="hybridMultilevel"/>
    <w:tmpl w:val="1084D730"/>
    <w:lvl w:ilvl="0" w:tplc="0410000F">
      <w:start w:val="1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nsid w:val="65D44BBB"/>
    <w:multiLevelType w:val="hybridMultilevel"/>
    <w:tmpl w:val="AD3ECA7E"/>
    <w:lvl w:ilvl="0" w:tplc="0410000F">
      <w:start w:val="2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65DB61EE"/>
    <w:multiLevelType w:val="hybridMultilevel"/>
    <w:tmpl w:val="57BE6E1A"/>
    <w:lvl w:ilvl="0" w:tplc="75FCA5DA">
      <w:numFmt w:val="bullet"/>
      <w:lvlText w:val="-"/>
      <w:lvlJc w:val="left"/>
      <w:pPr>
        <w:tabs>
          <w:tab w:val="num" w:pos="435"/>
        </w:tabs>
        <w:ind w:left="435"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nsid w:val="684D1DA6"/>
    <w:multiLevelType w:val="hybridMultilevel"/>
    <w:tmpl w:val="70B66544"/>
    <w:lvl w:ilvl="0" w:tplc="0410000F">
      <w:start w:val="25"/>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nsid w:val="6A423742"/>
    <w:multiLevelType w:val="multilevel"/>
    <w:tmpl w:val="67DA769E"/>
    <w:lvl w:ilvl="0">
      <w:start w:val="11"/>
      <w:numFmt w:val="decimal"/>
      <w:lvlText w:val="%1."/>
      <w:lvlJc w:val="left"/>
      <w:pPr>
        <w:tabs>
          <w:tab w:val="num" w:pos="360"/>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DED5D37"/>
    <w:multiLevelType w:val="hybridMultilevel"/>
    <w:tmpl w:val="ACC20FAA"/>
    <w:lvl w:ilvl="0" w:tplc="FF060DE0">
      <w:start w:val="7"/>
      <w:numFmt w:val="bullet"/>
      <w:lvlText w:val=""/>
      <w:lvlJc w:val="left"/>
      <w:pPr>
        <w:tabs>
          <w:tab w:val="num" w:pos="720"/>
        </w:tabs>
        <w:ind w:left="720" w:hanging="360"/>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
    <w:nsid w:val="6E713B85"/>
    <w:multiLevelType w:val="hybridMultilevel"/>
    <w:tmpl w:val="9CE69F02"/>
    <w:lvl w:ilvl="0" w:tplc="0410000F">
      <w:start w:val="1"/>
      <w:numFmt w:val="decimal"/>
      <w:lvlText w:val="%1."/>
      <w:lvlJc w:val="left"/>
      <w:pPr>
        <w:tabs>
          <w:tab w:val="num" w:pos="720"/>
        </w:tabs>
        <w:ind w:left="720" w:hanging="360"/>
      </w:pPr>
    </w:lvl>
    <w:lvl w:ilvl="1" w:tplc="0410000D">
      <w:start w:val="1"/>
      <w:numFmt w:val="bullet"/>
      <w:lvlText w:val=""/>
      <w:lvlJc w:val="left"/>
      <w:pPr>
        <w:tabs>
          <w:tab w:val="num" w:pos="1440"/>
        </w:tabs>
        <w:ind w:left="1440" w:hanging="360"/>
      </w:pPr>
      <w:rPr>
        <w:rFonts w:ascii="Wingdings" w:hAnsi="Wingding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nsid w:val="7068204B"/>
    <w:multiLevelType w:val="hybridMultilevel"/>
    <w:tmpl w:val="91828D4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nsid w:val="73805793"/>
    <w:multiLevelType w:val="hybridMultilevel"/>
    <w:tmpl w:val="DF601E56"/>
    <w:lvl w:ilvl="0" w:tplc="FFFFFFFF">
      <w:start w:val="8"/>
      <w:numFmt w:val="bullet"/>
      <w:lvlText w:val="-"/>
      <w:lvlJc w:val="left"/>
      <w:pPr>
        <w:tabs>
          <w:tab w:val="num" w:pos="720"/>
        </w:tabs>
        <w:ind w:left="720" w:hanging="360"/>
      </w:pPr>
      <w:rPr>
        <w:rFonts w:ascii="Times New Roman" w:eastAsia="Times New Roman" w:hAnsi="Times New Roman" w:cs="Times New Roman" w:hint="default"/>
        <w:b/>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6">
    <w:nsid w:val="77A96B55"/>
    <w:multiLevelType w:val="multilevel"/>
    <w:tmpl w:val="EE4C8134"/>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81C0CE7"/>
    <w:multiLevelType w:val="hybridMultilevel"/>
    <w:tmpl w:val="E8F24F16"/>
    <w:lvl w:ilvl="0" w:tplc="B2ACF054">
      <w:start w:val="11"/>
      <w:numFmt w:val="decimal"/>
      <w:lvlText w:val="%1."/>
      <w:lvlJc w:val="left"/>
      <w:pPr>
        <w:tabs>
          <w:tab w:val="num" w:pos="360"/>
        </w:tabs>
        <w:ind w:left="397" w:hanging="397"/>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48">
    <w:nsid w:val="78330F83"/>
    <w:multiLevelType w:val="hybridMultilevel"/>
    <w:tmpl w:val="240C2662"/>
    <w:lvl w:ilvl="0" w:tplc="0410000F">
      <w:start w:val="2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78774E61"/>
    <w:multiLevelType w:val="multilevel"/>
    <w:tmpl w:val="0C7EA1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3"/>
  </w:num>
  <w:num w:numId="2">
    <w:abstractNumId w:val="29"/>
  </w:num>
  <w:num w:numId="3">
    <w:abstractNumId w:val="6"/>
  </w:num>
  <w:num w:numId="4">
    <w:abstractNumId w:val="11"/>
  </w:num>
  <w:num w:numId="5">
    <w:abstractNumId w:val="39"/>
  </w:num>
  <w:num w:numId="6">
    <w:abstractNumId w:val="45"/>
  </w:num>
  <w:num w:numId="7">
    <w:abstractNumId w:val="15"/>
  </w:num>
  <w:num w:numId="8">
    <w:abstractNumId w:val="30"/>
  </w:num>
  <w:num w:numId="9">
    <w:abstractNumId w:val="42"/>
  </w:num>
  <w:num w:numId="10">
    <w:abstractNumId w:val="19"/>
  </w:num>
  <w:num w:numId="11">
    <w:abstractNumId w:val="16"/>
  </w:num>
  <w:num w:numId="12">
    <w:abstractNumId w:val="5"/>
  </w:num>
  <w:num w:numId="13">
    <w:abstractNumId w:val="1"/>
  </w:num>
  <w:num w:numId="14">
    <w:abstractNumId w:val="7"/>
  </w:num>
  <w:num w:numId="15">
    <w:abstractNumId w:val="31"/>
  </w:num>
  <w:num w:numId="16">
    <w:abstractNumId w:val="4"/>
  </w:num>
  <w:num w:numId="17">
    <w:abstractNumId w:val="28"/>
  </w:num>
  <w:num w:numId="18">
    <w:abstractNumId w:val="49"/>
  </w:num>
  <w:num w:numId="19">
    <w:abstractNumId w:val="18"/>
  </w:num>
  <w:num w:numId="20">
    <w:abstractNumId w:val="44"/>
  </w:num>
  <w:num w:numId="21">
    <w:abstractNumId w:val="32"/>
  </w:num>
  <w:num w:numId="22">
    <w:abstractNumId w:val="43"/>
  </w:num>
  <w:num w:numId="23">
    <w:abstractNumId w:val="9"/>
  </w:num>
  <w:num w:numId="24">
    <w:abstractNumId w:val="3"/>
  </w:num>
  <w:num w:numId="25">
    <w:abstractNumId w:val="26"/>
  </w:num>
  <w:num w:numId="26">
    <w:abstractNumId w:val="27"/>
  </w:num>
  <w:num w:numId="27">
    <w:abstractNumId w:val="37"/>
  </w:num>
  <w:num w:numId="28">
    <w:abstractNumId w:val="2"/>
  </w:num>
  <w:num w:numId="29">
    <w:abstractNumId w:val="0"/>
  </w:num>
  <w:num w:numId="30">
    <w:abstractNumId w:val="40"/>
  </w:num>
  <w:num w:numId="31">
    <w:abstractNumId w:val="21"/>
  </w:num>
  <w:num w:numId="32">
    <w:abstractNumId w:val="33"/>
  </w:num>
  <w:num w:numId="33">
    <w:abstractNumId w:val="46"/>
  </w:num>
  <w:num w:numId="34">
    <w:abstractNumId w:val="36"/>
  </w:num>
  <w:num w:numId="35">
    <w:abstractNumId w:val="35"/>
  </w:num>
  <w:num w:numId="36">
    <w:abstractNumId w:val="14"/>
  </w:num>
  <w:num w:numId="37">
    <w:abstractNumId w:val="47"/>
  </w:num>
  <w:num w:numId="38">
    <w:abstractNumId w:val="20"/>
  </w:num>
  <w:num w:numId="39">
    <w:abstractNumId w:val="17"/>
  </w:num>
  <w:num w:numId="40">
    <w:abstractNumId w:val="22"/>
  </w:num>
  <w:num w:numId="41">
    <w:abstractNumId w:val="41"/>
  </w:num>
  <w:num w:numId="42">
    <w:abstractNumId w:val="10"/>
  </w:num>
  <w:num w:numId="43">
    <w:abstractNumId w:val="12"/>
  </w:num>
  <w:num w:numId="44">
    <w:abstractNumId w:val="25"/>
  </w:num>
  <w:num w:numId="45">
    <w:abstractNumId w:val="8"/>
  </w:num>
  <w:num w:numId="46">
    <w:abstractNumId w:val="34"/>
  </w:num>
  <w:num w:numId="47">
    <w:abstractNumId w:val="24"/>
  </w:num>
  <w:num w:numId="48">
    <w:abstractNumId w:val="13"/>
  </w:num>
  <w:num w:numId="49">
    <w:abstractNumId w:val="48"/>
  </w:num>
  <w:num w:numId="5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1"/>
    <w:footnote w:id="0"/>
  </w:footnotePr>
  <w:endnotePr>
    <w:endnote w:id="-1"/>
    <w:endnote w:id="0"/>
  </w:endnotePr>
  <w:compat/>
  <w:rsids>
    <w:rsidRoot w:val="00E36E2B"/>
    <w:rsid w:val="001B35D9"/>
    <w:rsid w:val="002D5F65"/>
    <w:rsid w:val="003B3EA5"/>
    <w:rsid w:val="005B7AFE"/>
    <w:rsid w:val="00607F7D"/>
    <w:rsid w:val="007F1AFE"/>
    <w:rsid w:val="00876001"/>
    <w:rsid w:val="00A20895"/>
    <w:rsid w:val="00AD2C2A"/>
    <w:rsid w:val="00B83690"/>
    <w:rsid w:val="00D70345"/>
    <w:rsid w:val="00DB6EA9"/>
    <w:rsid w:val="00DD408D"/>
    <w:rsid w:val="00E36E2B"/>
    <w:rsid w:val="00E804D0"/>
    <w:rsid w:val="00EC3846"/>
    <w:rsid w:val="00FA357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36E2B"/>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E36E2B"/>
    <w:pPr>
      <w:keepNext/>
      <w:jc w:val="right"/>
      <w:outlineLvl w:val="0"/>
    </w:pPr>
    <w:rPr>
      <w:b/>
      <w:bCs/>
    </w:rPr>
  </w:style>
  <w:style w:type="paragraph" w:styleId="Titolo2">
    <w:name w:val="heading 2"/>
    <w:basedOn w:val="Normale"/>
    <w:next w:val="Normale"/>
    <w:link w:val="Titolo2Carattere"/>
    <w:qFormat/>
    <w:rsid w:val="00E36E2B"/>
    <w:pPr>
      <w:keepNext/>
      <w:jc w:val="both"/>
      <w:outlineLvl w:val="1"/>
    </w:pPr>
    <w:rPr>
      <w:b/>
      <w:bCs/>
      <w:sz w:val="28"/>
      <w:szCs w:val="22"/>
    </w:rPr>
  </w:style>
  <w:style w:type="paragraph" w:styleId="Titolo4">
    <w:name w:val="heading 4"/>
    <w:basedOn w:val="Normale"/>
    <w:next w:val="Normale"/>
    <w:link w:val="Titolo4Carattere"/>
    <w:qFormat/>
    <w:rsid w:val="00E36E2B"/>
    <w:pPr>
      <w:keepNext/>
      <w:jc w:val="center"/>
      <w:outlineLvl w:val="3"/>
    </w:pPr>
    <w:rPr>
      <w:rFonts w:ascii="Arial" w:hAnsi="Arial" w:cs="Arial"/>
      <w:b/>
      <w:snapToGrid w:val="0"/>
      <w:sz w:val="18"/>
    </w:rPr>
  </w:style>
  <w:style w:type="paragraph" w:styleId="Titolo6">
    <w:name w:val="heading 6"/>
    <w:basedOn w:val="Normale"/>
    <w:next w:val="Normale"/>
    <w:link w:val="Titolo6Carattere"/>
    <w:qFormat/>
    <w:rsid w:val="00E36E2B"/>
    <w:pPr>
      <w:keepNext/>
      <w:jc w:val="both"/>
      <w:outlineLvl w:val="5"/>
    </w:pPr>
    <w:rPr>
      <w:rFonts w:ascii="Arial" w:hAnsi="Arial" w:cs="Arial"/>
      <w:b/>
      <w:bCs/>
    </w:rPr>
  </w:style>
  <w:style w:type="paragraph" w:styleId="Titolo7">
    <w:name w:val="heading 7"/>
    <w:basedOn w:val="Normale"/>
    <w:next w:val="Normale"/>
    <w:link w:val="Titolo7Carattere"/>
    <w:qFormat/>
    <w:rsid w:val="00E36E2B"/>
    <w:pPr>
      <w:keepNext/>
      <w:jc w:val="center"/>
      <w:outlineLvl w:val="6"/>
    </w:pPr>
    <w:rPr>
      <w:rFonts w:ascii="Arial" w:hAnsi="Arial" w:cs="Arial"/>
      <w:b/>
      <w:snapToGrid w:val="0"/>
      <w:sz w:val="22"/>
    </w:rPr>
  </w:style>
  <w:style w:type="paragraph" w:styleId="Titolo8">
    <w:name w:val="heading 8"/>
    <w:basedOn w:val="Normale"/>
    <w:next w:val="Normale"/>
    <w:link w:val="Titolo8Carattere"/>
    <w:qFormat/>
    <w:rsid w:val="00E36E2B"/>
    <w:pPr>
      <w:keepNext/>
      <w:jc w:val="center"/>
      <w:outlineLvl w:val="7"/>
    </w:pPr>
    <w:rPr>
      <w:rFonts w:ascii="Arial" w:eastAsia="Arial Unicode MS"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36E2B"/>
    <w:rPr>
      <w:rFonts w:ascii="Times New Roman" w:eastAsia="Times New Roman" w:hAnsi="Times New Roman" w:cs="Times New Roman"/>
      <w:b/>
      <w:bCs/>
      <w:sz w:val="24"/>
      <w:szCs w:val="24"/>
      <w:lang w:eastAsia="it-IT"/>
    </w:rPr>
  </w:style>
  <w:style w:type="character" w:customStyle="1" w:styleId="Titolo2Carattere">
    <w:name w:val="Titolo 2 Carattere"/>
    <w:basedOn w:val="Carpredefinitoparagrafo"/>
    <w:link w:val="Titolo2"/>
    <w:rsid w:val="00E36E2B"/>
    <w:rPr>
      <w:rFonts w:ascii="Times New Roman" w:eastAsia="Times New Roman" w:hAnsi="Times New Roman" w:cs="Times New Roman"/>
      <w:b/>
      <w:bCs/>
      <w:sz w:val="28"/>
      <w:lang w:eastAsia="it-IT"/>
    </w:rPr>
  </w:style>
  <w:style w:type="character" w:customStyle="1" w:styleId="Titolo4Carattere">
    <w:name w:val="Titolo 4 Carattere"/>
    <w:basedOn w:val="Carpredefinitoparagrafo"/>
    <w:link w:val="Titolo4"/>
    <w:rsid w:val="00E36E2B"/>
    <w:rPr>
      <w:rFonts w:ascii="Arial" w:eastAsia="Times New Roman" w:hAnsi="Arial" w:cs="Arial"/>
      <w:b/>
      <w:snapToGrid w:val="0"/>
      <w:sz w:val="18"/>
      <w:szCs w:val="24"/>
      <w:lang w:eastAsia="it-IT"/>
    </w:rPr>
  </w:style>
  <w:style w:type="character" w:customStyle="1" w:styleId="Titolo6Carattere">
    <w:name w:val="Titolo 6 Carattere"/>
    <w:basedOn w:val="Carpredefinitoparagrafo"/>
    <w:link w:val="Titolo6"/>
    <w:rsid w:val="00E36E2B"/>
    <w:rPr>
      <w:rFonts w:ascii="Arial" w:eastAsia="Times New Roman" w:hAnsi="Arial" w:cs="Arial"/>
      <w:b/>
      <w:bCs/>
      <w:sz w:val="24"/>
      <w:szCs w:val="24"/>
      <w:lang w:eastAsia="it-IT"/>
    </w:rPr>
  </w:style>
  <w:style w:type="character" w:customStyle="1" w:styleId="Titolo7Carattere">
    <w:name w:val="Titolo 7 Carattere"/>
    <w:basedOn w:val="Carpredefinitoparagrafo"/>
    <w:link w:val="Titolo7"/>
    <w:rsid w:val="00E36E2B"/>
    <w:rPr>
      <w:rFonts w:ascii="Arial" w:eastAsia="Times New Roman" w:hAnsi="Arial" w:cs="Arial"/>
      <w:b/>
      <w:snapToGrid w:val="0"/>
      <w:szCs w:val="24"/>
      <w:lang w:eastAsia="it-IT"/>
    </w:rPr>
  </w:style>
  <w:style w:type="character" w:customStyle="1" w:styleId="Titolo8Carattere">
    <w:name w:val="Titolo 8 Carattere"/>
    <w:basedOn w:val="Carpredefinitoparagrafo"/>
    <w:link w:val="Titolo8"/>
    <w:rsid w:val="00E36E2B"/>
    <w:rPr>
      <w:rFonts w:ascii="Arial" w:eastAsia="Arial Unicode MS" w:hAnsi="Arial" w:cs="Arial"/>
      <w:b/>
      <w:bCs/>
      <w:sz w:val="24"/>
      <w:szCs w:val="24"/>
      <w:lang w:eastAsia="it-IT"/>
    </w:rPr>
  </w:style>
  <w:style w:type="paragraph" w:styleId="Corpodeltesto">
    <w:name w:val="Body Text"/>
    <w:aliases w:val="ct"/>
    <w:basedOn w:val="Normale"/>
    <w:link w:val="CorpodeltestoCarattere"/>
    <w:rsid w:val="00E36E2B"/>
    <w:pPr>
      <w:jc w:val="both"/>
    </w:pPr>
  </w:style>
  <w:style w:type="character" w:customStyle="1" w:styleId="CorpodeltestoCarattere">
    <w:name w:val="Corpo del testo Carattere"/>
    <w:aliases w:val="ct Carattere"/>
    <w:basedOn w:val="Carpredefinitoparagrafo"/>
    <w:link w:val="Corpodeltesto"/>
    <w:rsid w:val="00E36E2B"/>
    <w:rPr>
      <w:rFonts w:ascii="Times New Roman" w:eastAsia="Times New Roman" w:hAnsi="Times New Roman" w:cs="Times New Roman"/>
      <w:sz w:val="24"/>
      <w:szCs w:val="24"/>
      <w:lang w:eastAsia="it-IT"/>
    </w:rPr>
  </w:style>
  <w:style w:type="paragraph" w:customStyle="1" w:styleId="Nome">
    <w:name w:val="Nome"/>
    <w:basedOn w:val="Normale"/>
    <w:rsid w:val="00E36E2B"/>
    <w:pPr>
      <w:tabs>
        <w:tab w:val="num" w:pos="360"/>
      </w:tabs>
      <w:ind w:left="360" w:hanging="360"/>
    </w:pPr>
    <w:rPr>
      <w:sz w:val="20"/>
      <w:szCs w:val="20"/>
    </w:rPr>
  </w:style>
  <w:style w:type="paragraph" w:styleId="Corpodeltesto2">
    <w:name w:val="Body Text 2"/>
    <w:basedOn w:val="Normale"/>
    <w:link w:val="Corpodeltesto2Carattere"/>
    <w:rsid w:val="00E36E2B"/>
    <w:pPr>
      <w:jc w:val="both"/>
    </w:pPr>
    <w:rPr>
      <w:szCs w:val="20"/>
    </w:rPr>
  </w:style>
  <w:style w:type="character" w:customStyle="1" w:styleId="Corpodeltesto2Carattere">
    <w:name w:val="Corpo del testo 2 Carattere"/>
    <w:basedOn w:val="Carpredefinitoparagrafo"/>
    <w:link w:val="Corpodeltesto2"/>
    <w:rsid w:val="00E36E2B"/>
    <w:rPr>
      <w:rFonts w:ascii="Times New Roman" w:eastAsia="Times New Roman" w:hAnsi="Times New Roman" w:cs="Times New Roman"/>
      <w:sz w:val="24"/>
      <w:szCs w:val="20"/>
      <w:lang w:eastAsia="it-IT"/>
    </w:rPr>
  </w:style>
  <w:style w:type="paragraph" w:customStyle="1" w:styleId="testo">
    <w:name w:val="testo"/>
    <w:basedOn w:val="Normale"/>
    <w:rsid w:val="00E36E2B"/>
    <w:pPr>
      <w:widowControl w:val="0"/>
      <w:snapToGrid w:val="0"/>
      <w:spacing w:line="200" w:lineRule="atLeast"/>
      <w:jc w:val="both"/>
    </w:pPr>
    <w:rPr>
      <w:rFonts w:ascii="Century Schoolbook" w:hAnsi="Century Schoolbook"/>
      <w:szCs w:val="20"/>
    </w:rPr>
  </w:style>
  <w:style w:type="character" w:styleId="Rimandonotaapidipagina">
    <w:name w:val="footnote reference"/>
    <w:semiHidden/>
    <w:rsid w:val="00E36E2B"/>
    <w:rPr>
      <w:vertAlign w:val="superscript"/>
    </w:rPr>
  </w:style>
  <w:style w:type="paragraph" w:styleId="Titolo">
    <w:name w:val="Title"/>
    <w:basedOn w:val="Normale"/>
    <w:link w:val="TitoloCarattere"/>
    <w:qFormat/>
    <w:rsid w:val="00E36E2B"/>
    <w:pPr>
      <w:jc w:val="center"/>
    </w:pPr>
    <w:rPr>
      <w:b/>
      <w:sz w:val="20"/>
      <w:szCs w:val="20"/>
    </w:rPr>
  </w:style>
  <w:style w:type="character" w:customStyle="1" w:styleId="TitoloCarattere">
    <w:name w:val="Titolo Carattere"/>
    <w:basedOn w:val="Carpredefinitoparagrafo"/>
    <w:link w:val="Titolo"/>
    <w:rsid w:val="00E36E2B"/>
    <w:rPr>
      <w:rFonts w:ascii="Times New Roman" w:eastAsia="Times New Roman" w:hAnsi="Times New Roman" w:cs="Times New Roman"/>
      <w:b/>
      <w:sz w:val="20"/>
      <w:szCs w:val="20"/>
      <w:lang w:eastAsia="it-IT"/>
    </w:rPr>
  </w:style>
  <w:style w:type="paragraph" w:styleId="Sottotitolo">
    <w:name w:val="Subtitle"/>
    <w:basedOn w:val="Normale"/>
    <w:link w:val="SottotitoloCarattere"/>
    <w:qFormat/>
    <w:rsid w:val="00E36E2B"/>
    <w:pPr>
      <w:snapToGrid w:val="0"/>
      <w:jc w:val="center"/>
    </w:pPr>
    <w:rPr>
      <w:b/>
      <w:sz w:val="20"/>
      <w:szCs w:val="20"/>
    </w:rPr>
  </w:style>
  <w:style w:type="character" w:customStyle="1" w:styleId="SottotitoloCarattere">
    <w:name w:val="Sottotitolo Carattere"/>
    <w:basedOn w:val="Carpredefinitoparagrafo"/>
    <w:link w:val="Sottotitolo"/>
    <w:rsid w:val="00E36E2B"/>
    <w:rPr>
      <w:rFonts w:ascii="Times New Roman" w:eastAsia="Times New Roman" w:hAnsi="Times New Roman" w:cs="Times New Roman"/>
      <w:b/>
      <w:sz w:val="20"/>
      <w:szCs w:val="20"/>
      <w:lang w:eastAsia="it-IT"/>
    </w:rPr>
  </w:style>
  <w:style w:type="paragraph" w:styleId="Pidipagina">
    <w:name w:val="footer"/>
    <w:basedOn w:val="Normale"/>
    <w:link w:val="PidipaginaCarattere"/>
    <w:rsid w:val="00E36E2B"/>
    <w:pPr>
      <w:tabs>
        <w:tab w:val="center" w:pos="4819"/>
        <w:tab w:val="right" w:pos="9638"/>
      </w:tabs>
    </w:pPr>
    <w:rPr>
      <w:sz w:val="20"/>
      <w:szCs w:val="20"/>
      <w:lang w:val="it-CH"/>
    </w:rPr>
  </w:style>
  <w:style w:type="character" w:customStyle="1" w:styleId="PidipaginaCarattere">
    <w:name w:val="Piè di pagina Carattere"/>
    <w:basedOn w:val="Carpredefinitoparagrafo"/>
    <w:link w:val="Pidipagina"/>
    <w:rsid w:val="00E36E2B"/>
    <w:rPr>
      <w:rFonts w:ascii="Times New Roman" w:eastAsia="Times New Roman" w:hAnsi="Times New Roman" w:cs="Times New Roman"/>
      <w:sz w:val="20"/>
      <w:szCs w:val="20"/>
      <w:lang w:val="it-CH" w:eastAsia="it-IT"/>
    </w:rPr>
  </w:style>
  <w:style w:type="character" w:styleId="Enfasigrassetto">
    <w:name w:val="Strong"/>
    <w:qFormat/>
    <w:rsid w:val="00E36E2B"/>
    <w:rPr>
      <w:b/>
      <w:bCs/>
    </w:rPr>
  </w:style>
  <w:style w:type="paragraph" w:styleId="Testocommento">
    <w:name w:val="annotation text"/>
    <w:basedOn w:val="Normale"/>
    <w:link w:val="TestocommentoCarattere"/>
    <w:semiHidden/>
    <w:rsid w:val="00E36E2B"/>
    <w:rPr>
      <w:rFonts w:ascii="Bookman Old Style" w:hAnsi="Bookman Old Style"/>
      <w:sz w:val="22"/>
      <w:szCs w:val="20"/>
      <w:lang w:val="it-CH"/>
    </w:rPr>
  </w:style>
  <w:style w:type="character" w:customStyle="1" w:styleId="TestocommentoCarattere">
    <w:name w:val="Testo commento Carattere"/>
    <w:basedOn w:val="Carpredefinitoparagrafo"/>
    <w:link w:val="Testocommento"/>
    <w:semiHidden/>
    <w:rsid w:val="00E36E2B"/>
    <w:rPr>
      <w:rFonts w:ascii="Bookman Old Style" w:eastAsia="Times New Roman" w:hAnsi="Bookman Old Style" w:cs="Times New Roman"/>
      <w:szCs w:val="20"/>
      <w:lang w:val="it-CH" w:eastAsia="it-IT"/>
    </w:rPr>
  </w:style>
  <w:style w:type="paragraph" w:styleId="Testonotaapidipagina">
    <w:name w:val="footnote text"/>
    <w:basedOn w:val="Normale"/>
    <w:link w:val="TestonotaapidipaginaCarattere"/>
    <w:semiHidden/>
    <w:rsid w:val="00E36E2B"/>
    <w:rPr>
      <w:rFonts w:ascii="Bookman Old Style" w:hAnsi="Bookman Old Style"/>
      <w:sz w:val="16"/>
      <w:szCs w:val="20"/>
      <w:lang w:val="it-CH"/>
    </w:rPr>
  </w:style>
  <w:style w:type="character" w:customStyle="1" w:styleId="TestonotaapidipaginaCarattere">
    <w:name w:val="Testo nota a piè di pagina Carattere"/>
    <w:basedOn w:val="Carpredefinitoparagrafo"/>
    <w:link w:val="Testonotaapidipagina"/>
    <w:semiHidden/>
    <w:rsid w:val="00E36E2B"/>
    <w:rPr>
      <w:rFonts w:ascii="Bookman Old Style" w:eastAsia="Times New Roman" w:hAnsi="Bookman Old Style" w:cs="Times New Roman"/>
      <w:sz w:val="16"/>
      <w:szCs w:val="20"/>
      <w:lang w:val="it-CH" w:eastAsia="it-IT"/>
    </w:rPr>
  </w:style>
  <w:style w:type="character" w:styleId="Numeropagina">
    <w:name w:val="page number"/>
    <w:basedOn w:val="Carpredefinitoparagrafo"/>
    <w:rsid w:val="00E36E2B"/>
  </w:style>
  <w:style w:type="paragraph" w:styleId="Corpodeltesto3">
    <w:name w:val="Body Text 3"/>
    <w:basedOn w:val="Normale"/>
    <w:link w:val="Corpodeltesto3Carattere"/>
    <w:rsid w:val="00E36E2B"/>
    <w:pPr>
      <w:spacing w:after="120"/>
    </w:pPr>
    <w:rPr>
      <w:sz w:val="16"/>
      <w:szCs w:val="16"/>
    </w:rPr>
  </w:style>
  <w:style w:type="character" w:customStyle="1" w:styleId="Corpodeltesto3Carattere">
    <w:name w:val="Corpo del testo 3 Carattere"/>
    <w:basedOn w:val="Carpredefinitoparagrafo"/>
    <w:link w:val="Corpodeltesto3"/>
    <w:rsid w:val="00E36E2B"/>
    <w:rPr>
      <w:rFonts w:ascii="Times New Roman" w:eastAsia="Times New Roman" w:hAnsi="Times New Roman" w:cs="Times New Roman"/>
      <w:sz w:val="16"/>
      <w:szCs w:val="16"/>
      <w:lang w:eastAsia="it-IT"/>
    </w:rPr>
  </w:style>
  <w:style w:type="paragraph" w:customStyle="1" w:styleId="LTCtesto">
    <w:name w:val="LTC testo"/>
    <w:basedOn w:val="Normale"/>
    <w:rsid w:val="00E36E2B"/>
    <w:pPr>
      <w:jc w:val="both"/>
    </w:pPr>
    <w:rPr>
      <w:rFonts w:ascii="Arial Narrow" w:hAnsi="Arial Narrow"/>
      <w:sz w:val="22"/>
      <w:szCs w:val="20"/>
    </w:rPr>
  </w:style>
  <w:style w:type="paragraph" w:styleId="Intestazione">
    <w:name w:val="header"/>
    <w:basedOn w:val="Normale"/>
    <w:link w:val="IntestazioneCarattere"/>
    <w:rsid w:val="00E36E2B"/>
    <w:pPr>
      <w:tabs>
        <w:tab w:val="center" w:pos="4819"/>
        <w:tab w:val="right" w:pos="9638"/>
      </w:tabs>
    </w:pPr>
  </w:style>
  <w:style w:type="character" w:customStyle="1" w:styleId="IntestazioneCarattere">
    <w:name w:val="Intestazione Carattere"/>
    <w:basedOn w:val="Carpredefinitoparagrafo"/>
    <w:link w:val="Intestazione"/>
    <w:rsid w:val="00E36E2B"/>
    <w:rPr>
      <w:rFonts w:ascii="Times New Roman" w:eastAsia="Times New Roman" w:hAnsi="Times New Roman" w:cs="Times New Roman"/>
      <w:sz w:val="24"/>
      <w:szCs w:val="24"/>
      <w:lang w:eastAsia="it-IT"/>
    </w:rPr>
  </w:style>
  <w:style w:type="paragraph" w:styleId="Mappadocumento">
    <w:name w:val="Document Map"/>
    <w:basedOn w:val="Normale"/>
    <w:link w:val="MappadocumentoCarattere"/>
    <w:semiHidden/>
    <w:rsid w:val="00E36E2B"/>
    <w:pPr>
      <w:shd w:val="clear" w:color="auto" w:fill="000080"/>
    </w:pPr>
    <w:rPr>
      <w:rFonts w:ascii="Tahoma" w:hAnsi="Tahoma" w:cs="Tahoma"/>
      <w:sz w:val="20"/>
      <w:szCs w:val="20"/>
    </w:rPr>
  </w:style>
  <w:style w:type="character" w:customStyle="1" w:styleId="MappadocumentoCarattere">
    <w:name w:val="Mappa documento Carattere"/>
    <w:basedOn w:val="Carpredefinitoparagrafo"/>
    <w:link w:val="Mappadocumento"/>
    <w:semiHidden/>
    <w:rsid w:val="00E36E2B"/>
    <w:rPr>
      <w:rFonts w:ascii="Tahoma" w:eastAsia="Times New Roman" w:hAnsi="Tahoma" w:cs="Tahoma"/>
      <w:sz w:val="20"/>
      <w:szCs w:val="20"/>
      <w:shd w:val="clear" w:color="auto" w:fill="000080"/>
      <w:lang w:eastAsia="it-IT"/>
    </w:rPr>
  </w:style>
  <w:style w:type="character" w:styleId="Rimandocommento">
    <w:name w:val="annotation reference"/>
    <w:semiHidden/>
    <w:rsid w:val="00E36E2B"/>
    <w:rPr>
      <w:sz w:val="16"/>
      <w:szCs w:val="16"/>
    </w:rPr>
  </w:style>
  <w:style w:type="paragraph" w:styleId="Soggettocommento">
    <w:name w:val="annotation subject"/>
    <w:basedOn w:val="Testocommento"/>
    <w:next w:val="Testocommento"/>
    <w:link w:val="SoggettocommentoCarattere"/>
    <w:semiHidden/>
    <w:rsid w:val="00E36E2B"/>
    <w:rPr>
      <w:rFonts w:ascii="Times New Roman" w:hAnsi="Times New Roman"/>
      <w:b/>
      <w:bCs/>
      <w:sz w:val="20"/>
      <w:lang w:val="it-IT"/>
    </w:rPr>
  </w:style>
  <w:style w:type="character" w:customStyle="1" w:styleId="SoggettocommentoCarattere">
    <w:name w:val="Soggetto commento Carattere"/>
    <w:basedOn w:val="TestocommentoCarattere"/>
    <w:link w:val="Soggettocommento"/>
    <w:semiHidden/>
    <w:rsid w:val="00E36E2B"/>
    <w:rPr>
      <w:rFonts w:ascii="Times New Roman" w:eastAsia="Times New Roman" w:hAnsi="Times New Roman" w:cs="Times New Roman"/>
      <w:b/>
      <w:bCs/>
      <w:sz w:val="20"/>
      <w:szCs w:val="20"/>
      <w:lang w:val="it-CH" w:eastAsia="it-IT"/>
    </w:rPr>
  </w:style>
  <w:style w:type="paragraph" w:styleId="Testofumetto">
    <w:name w:val="Balloon Text"/>
    <w:basedOn w:val="Normale"/>
    <w:link w:val="TestofumettoCarattere"/>
    <w:semiHidden/>
    <w:rsid w:val="00E36E2B"/>
    <w:rPr>
      <w:rFonts w:ascii="Tahoma" w:hAnsi="Tahoma" w:cs="Tahoma"/>
      <w:sz w:val="16"/>
      <w:szCs w:val="16"/>
    </w:rPr>
  </w:style>
  <w:style w:type="character" w:customStyle="1" w:styleId="TestofumettoCarattere">
    <w:name w:val="Testo fumetto Carattere"/>
    <w:basedOn w:val="Carpredefinitoparagrafo"/>
    <w:link w:val="Testofumetto"/>
    <w:semiHidden/>
    <w:rsid w:val="00E36E2B"/>
    <w:rPr>
      <w:rFonts w:ascii="Tahoma" w:eastAsia="Times New Roman" w:hAnsi="Tahoma" w:cs="Tahoma"/>
      <w:sz w:val="16"/>
      <w:szCs w:val="16"/>
      <w:lang w:eastAsia="it-IT"/>
    </w:rPr>
  </w:style>
  <w:style w:type="paragraph" w:customStyle="1" w:styleId="Default">
    <w:name w:val="Default"/>
    <w:rsid w:val="00E36E2B"/>
    <w:pPr>
      <w:autoSpaceDE w:val="0"/>
      <w:autoSpaceDN w:val="0"/>
      <w:adjustRightInd w:val="0"/>
      <w:spacing w:after="0" w:line="240" w:lineRule="auto"/>
    </w:pPr>
    <w:rPr>
      <w:rFonts w:ascii="DPLLKJ+TimesNewRoman,Bold" w:eastAsia="Times New Roman" w:hAnsi="DPLLKJ+TimesNewRoman,Bold" w:cs="DPLLKJ+TimesNewRoman,Bold"/>
      <w:color w:val="000000"/>
      <w:sz w:val="24"/>
      <w:szCs w:val="24"/>
      <w:lang w:eastAsia="it-IT"/>
    </w:rPr>
  </w:style>
  <w:style w:type="character" w:styleId="Collegamentoipertestuale">
    <w:name w:val="Hyperlink"/>
    <w:basedOn w:val="Carpredefinitoparagrafo"/>
    <w:rsid w:val="00E36E2B"/>
    <w:rPr>
      <w:color w:val="0000FF"/>
      <w:u w:val="single"/>
    </w:rPr>
  </w:style>
  <w:style w:type="paragraph" w:styleId="PreformattatoHTML">
    <w:name w:val="HTML Preformatted"/>
    <w:basedOn w:val="Normale"/>
    <w:link w:val="PreformattatoHTMLCarattere"/>
    <w:rsid w:val="00E3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E36E2B"/>
    <w:rPr>
      <w:rFonts w:ascii="Courier New" w:eastAsia="Times New Roman" w:hAnsi="Courier New" w:cs="Courier New"/>
      <w:sz w:val="20"/>
      <w:szCs w:val="20"/>
      <w:lang w:eastAsia="it-IT"/>
    </w:rPr>
  </w:style>
  <w:style w:type="paragraph" w:styleId="Paragrafoelenco">
    <w:name w:val="List Paragraph"/>
    <w:basedOn w:val="Normale"/>
    <w:uiPriority w:val="34"/>
    <w:qFormat/>
    <w:rsid w:val="00E36E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36E2B"/>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E36E2B"/>
    <w:pPr>
      <w:keepNext/>
      <w:jc w:val="right"/>
      <w:outlineLvl w:val="0"/>
    </w:pPr>
    <w:rPr>
      <w:b/>
      <w:bCs/>
    </w:rPr>
  </w:style>
  <w:style w:type="paragraph" w:styleId="Titolo2">
    <w:name w:val="heading 2"/>
    <w:basedOn w:val="Normale"/>
    <w:next w:val="Normale"/>
    <w:link w:val="Titolo2Carattere"/>
    <w:qFormat/>
    <w:rsid w:val="00E36E2B"/>
    <w:pPr>
      <w:keepNext/>
      <w:jc w:val="both"/>
      <w:outlineLvl w:val="1"/>
    </w:pPr>
    <w:rPr>
      <w:b/>
      <w:bCs/>
      <w:sz w:val="28"/>
      <w:szCs w:val="22"/>
    </w:rPr>
  </w:style>
  <w:style w:type="paragraph" w:styleId="Titolo4">
    <w:name w:val="heading 4"/>
    <w:basedOn w:val="Normale"/>
    <w:next w:val="Normale"/>
    <w:link w:val="Titolo4Carattere"/>
    <w:qFormat/>
    <w:rsid w:val="00E36E2B"/>
    <w:pPr>
      <w:keepNext/>
      <w:jc w:val="center"/>
      <w:outlineLvl w:val="3"/>
    </w:pPr>
    <w:rPr>
      <w:rFonts w:ascii="Arial" w:hAnsi="Arial" w:cs="Arial"/>
      <w:b/>
      <w:snapToGrid w:val="0"/>
      <w:sz w:val="18"/>
    </w:rPr>
  </w:style>
  <w:style w:type="paragraph" w:styleId="Titolo6">
    <w:name w:val="heading 6"/>
    <w:basedOn w:val="Normale"/>
    <w:next w:val="Normale"/>
    <w:link w:val="Titolo6Carattere"/>
    <w:qFormat/>
    <w:rsid w:val="00E36E2B"/>
    <w:pPr>
      <w:keepNext/>
      <w:jc w:val="both"/>
      <w:outlineLvl w:val="5"/>
    </w:pPr>
    <w:rPr>
      <w:rFonts w:ascii="Arial" w:hAnsi="Arial" w:cs="Arial"/>
      <w:b/>
      <w:bCs/>
    </w:rPr>
  </w:style>
  <w:style w:type="paragraph" w:styleId="Titolo7">
    <w:name w:val="heading 7"/>
    <w:basedOn w:val="Normale"/>
    <w:next w:val="Normale"/>
    <w:link w:val="Titolo7Carattere"/>
    <w:qFormat/>
    <w:rsid w:val="00E36E2B"/>
    <w:pPr>
      <w:keepNext/>
      <w:jc w:val="center"/>
      <w:outlineLvl w:val="6"/>
    </w:pPr>
    <w:rPr>
      <w:rFonts w:ascii="Arial" w:hAnsi="Arial" w:cs="Arial"/>
      <w:b/>
      <w:snapToGrid w:val="0"/>
      <w:sz w:val="22"/>
    </w:rPr>
  </w:style>
  <w:style w:type="paragraph" w:styleId="Titolo8">
    <w:name w:val="heading 8"/>
    <w:basedOn w:val="Normale"/>
    <w:next w:val="Normale"/>
    <w:link w:val="Titolo8Carattere"/>
    <w:qFormat/>
    <w:rsid w:val="00E36E2B"/>
    <w:pPr>
      <w:keepNext/>
      <w:jc w:val="center"/>
      <w:outlineLvl w:val="7"/>
    </w:pPr>
    <w:rPr>
      <w:rFonts w:ascii="Arial" w:eastAsia="Arial Unicode MS"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36E2B"/>
    <w:rPr>
      <w:rFonts w:ascii="Times New Roman" w:eastAsia="Times New Roman" w:hAnsi="Times New Roman" w:cs="Times New Roman"/>
      <w:b/>
      <w:bCs/>
      <w:sz w:val="24"/>
      <w:szCs w:val="24"/>
      <w:lang w:eastAsia="it-IT"/>
    </w:rPr>
  </w:style>
  <w:style w:type="character" w:customStyle="1" w:styleId="Titolo2Carattere">
    <w:name w:val="Titolo 2 Carattere"/>
    <w:basedOn w:val="Carpredefinitoparagrafo"/>
    <w:link w:val="Titolo2"/>
    <w:rsid w:val="00E36E2B"/>
    <w:rPr>
      <w:rFonts w:ascii="Times New Roman" w:eastAsia="Times New Roman" w:hAnsi="Times New Roman" w:cs="Times New Roman"/>
      <w:b/>
      <w:bCs/>
      <w:sz w:val="28"/>
      <w:lang w:eastAsia="it-IT"/>
    </w:rPr>
  </w:style>
  <w:style w:type="character" w:customStyle="1" w:styleId="Titolo4Carattere">
    <w:name w:val="Titolo 4 Carattere"/>
    <w:basedOn w:val="Carpredefinitoparagrafo"/>
    <w:link w:val="Titolo4"/>
    <w:rsid w:val="00E36E2B"/>
    <w:rPr>
      <w:rFonts w:ascii="Arial" w:eastAsia="Times New Roman" w:hAnsi="Arial" w:cs="Arial"/>
      <w:b/>
      <w:snapToGrid w:val="0"/>
      <w:sz w:val="18"/>
      <w:szCs w:val="24"/>
      <w:lang w:eastAsia="it-IT"/>
    </w:rPr>
  </w:style>
  <w:style w:type="character" w:customStyle="1" w:styleId="Titolo6Carattere">
    <w:name w:val="Titolo 6 Carattere"/>
    <w:basedOn w:val="Carpredefinitoparagrafo"/>
    <w:link w:val="Titolo6"/>
    <w:rsid w:val="00E36E2B"/>
    <w:rPr>
      <w:rFonts w:ascii="Arial" w:eastAsia="Times New Roman" w:hAnsi="Arial" w:cs="Arial"/>
      <w:b/>
      <w:bCs/>
      <w:sz w:val="24"/>
      <w:szCs w:val="24"/>
      <w:lang w:eastAsia="it-IT"/>
    </w:rPr>
  </w:style>
  <w:style w:type="character" w:customStyle="1" w:styleId="Titolo7Carattere">
    <w:name w:val="Titolo 7 Carattere"/>
    <w:basedOn w:val="Carpredefinitoparagrafo"/>
    <w:link w:val="Titolo7"/>
    <w:rsid w:val="00E36E2B"/>
    <w:rPr>
      <w:rFonts w:ascii="Arial" w:eastAsia="Times New Roman" w:hAnsi="Arial" w:cs="Arial"/>
      <w:b/>
      <w:snapToGrid w:val="0"/>
      <w:szCs w:val="24"/>
      <w:lang w:eastAsia="it-IT"/>
    </w:rPr>
  </w:style>
  <w:style w:type="character" w:customStyle="1" w:styleId="Titolo8Carattere">
    <w:name w:val="Titolo 8 Carattere"/>
    <w:basedOn w:val="Carpredefinitoparagrafo"/>
    <w:link w:val="Titolo8"/>
    <w:rsid w:val="00E36E2B"/>
    <w:rPr>
      <w:rFonts w:ascii="Arial" w:eastAsia="Arial Unicode MS" w:hAnsi="Arial" w:cs="Arial"/>
      <w:b/>
      <w:bCs/>
      <w:sz w:val="24"/>
      <w:szCs w:val="24"/>
      <w:lang w:eastAsia="it-IT"/>
    </w:rPr>
  </w:style>
  <w:style w:type="paragraph" w:styleId="Corpotesto">
    <w:name w:val="Body Text"/>
    <w:aliases w:val="ct"/>
    <w:basedOn w:val="Normale"/>
    <w:link w:val="CorpotestoCarattere"/>
    <w:rsid w:val="00E36E2B"/>
    <w:pPr>
      <w:jc w:val="both"/>
    </w:pPr>
  </w:style>
  <w:style w:type="character" w:customStyle="1" w:styleId="CorpotestoCarattere">
    <w:name w:val="Corpo testo Carattere"/>
    <w:aliases w:val="ct Carattere"/>
    <w:basedOn w:val="Carpredefinitoparagrafo"/>
    <w:link w:val="Corpotesto"/>
    <w:rsid w:val="00E36E2B"/>
    <w:rPr>
      <w:rFonts w:ascii="Times New Roman" w:eastAsia="Times New Roman" w:hAnsi="Times New Roman" w:cs="Times New Roman"/>
      <w:sz w:val="24"/>
      <w:szCs w:val="24"/>
      <w:lang w:eastAsia="it-IT"/>
    </w:rPr>
  </w:style>
  <w:style w:type="paragraph" w:customStyle="1" w:styleId="Nome">
    <w:name w:val="Nome"/>
    <w:basedOn w:val="Normale"/>
    <w:rsid w:val="00E36E2B"/>
    <w:pPr>
      <w:tabs>
        <w:tab w:val="num" w:pos="360"/>
      </w:tabs>
      <w:ind w:left="360" w:hanging="360"/>
    </w:pPr>
    <w:rPr>
      <w:sz w:val="20"/>
      <w:szCs w:val="20"/>
    </w:rPr>
  </w:style>
  <w:style w:type="paragraph" w:styleId="Corpodeltesto2">
    <w:name w:val="Body Text 2"/>
    <w:basedOn w:val="Normale"/>
    <w:link w:val="Corpodeltesto2Carattere"/>
    <w:rsid w:val="00E36E2B"/>
    <w:pPr>
      <w:jc w:val="both"/>
    </w:pPr>
    <w:rPr>
      <w:szCs w:val="20"/>
    </w:rPr>
  </w:style>
  <w:style w:type="character" w:customStyle="1" w:styleId="Corpodeltesto2Carattere">
    <w:name w:val="Corpo del testo 2 Carattere"/>
    <w:basedOn w:val="Carpredefinitoparagrafo"/>
    <w:link w:val="Corpodeltesto2"/>
    <w:rsid w:val="00E36E2B"/>
    <w:rPr>
      <w:rFonts w:ascii="Times New Roman" w:eastAsia="Times New Roman" w:hAnsi="Times New Roman" w:cs="Times New Roman"/>
      <w:sz w:val="24"/>
      <w:szCs w:val="20"/>
      <w:lang w:eastAsia="it-IT"/>
    </w:rPr>
  </w:style>
  <w:style w:type="paragraph" w:customStyle="1" w:styleId="testo">
    <w:name w:val="testo"/>
    <w:basedOn w:val="Normale"/>
    <w:rsid w:val="00E36E2B"/>
    <w:pPr>
      <w:widowControl w:val="0"/>
      <w:snapToGrid w:val="0"/>
      <w:spacing w:line="200" w:lineRule="atLeast"/>
      <w:jc w:val="both"/>
    </w:pPr>
    <w:rPr>
      <w:rFonts w:ascii="Century Schoolbook" w:hAnsi="Century Schoolbook"/>
      <w:szCs w:val="20"/>
    </w:rPr>
  </w:style>
  <w:style w:type="character" w:styleId="Rimandonotaapidipagina">
    <w:name w:val="footnote reference"/>
    <w:semiHidden/>
    <w:rsid w:val="00E36E2B"/>
    <w:rPr>
      <w:vertAlign w:val="superscript"/>
    </w:rPr>
  </w:style>
  <w:style w:type="paragraph" w:styleId="Titolo">
    <w:name w:val="Title"/>
    <w:basedOn w:val="Normale"/>
    <w:link w:val="TitoloCarattere"/>
    <w:qFormat/>
    <w:rsid w:val="00E36E2B"/>
    <w:pPr>
      <w:jc w:val="center"/>
    </w:pPr>
    <w:rPr>
      <w:b/>
      <w:sz w:val="20"/>
      <w:szCs w:val="20"/>
    </w:rPr>
  </w:style>
  <w:style w:type="character" w:customStyle="1" w:styleId="TitoloCarattere">
    <w:name w:val="Titolo Carattere"/>
    <w:basedOn w:val="Carpredefinitoparagrafo"/>
    <w:link w:val="Titolo"/>
    <w:rsid w:val="00E36E2B"/>
    <w:rPr>
      <w:rFonts w:ascii="Times New Roman" w:eastAsia="Times New Roman" w:hAnsi="Times New Roman" w:cs="Times New Roman"/>
      <w:b/>
      <w:sz w:val="20"/>
      <w:szCs w:val="20"/>
      <w:lang w:eastAsia="it-IT"/>
    </w:rPr>
  </w:style>
  <w:style w:type="paragraph" w:styleId="Sottotitolo">
    <w:name w:val="Subtitle"/>
    <w:basedOn w:val="Normale"/>
    <w:link w:val="SottotitoloCarattere"/>
    <w:qFormat/>
    <w:rsid w:val="00E36E2B"/>
    <w:pPr>
      <w:snapToGrid w:val="0"/>
      <w:jc w:val="center"/>
    </w:pPr>
    <w:rPr>
      <w:b/>
      <w:sz w:val="20"/>
      <w:szCs w:val="20"/>
    </w:rPr>
  </w:style>
  <w:style w:type="character" w:customStyle="1" w:styleId="SottotitoloCarattere">
    <w:name w:val="Sottotitolo Carattere"/>
    <w:basedOn w:val="Carpredefinitoparagrafo"/>
    <w:link w:val="Sottotitolo"/>
    <w:rsid w:val="00E36E2B"/>
    <w:rPr>
      <w:rFonts w:ascii="Times New Roman" w:eastAsia="Times New Roman" w:hAnsi="Times New Roman" w:cs="Times New Roman"/>
      <w:b/>
      <w:sz w:val="20"/>
      <w:szCs w:val="20"/>
      <w:lang w:eastAsia="it-IT"/>
    </w:rPr>
  </w:style>
  <w:style w:type="paragraph" w:styleId="Pidipagina">
    <w:name w:val="footer"/>
    <w:basedOn w:val="Normale"/>
    <w:link w:val="PidipaginaCarattere"/>
    <w:rsid w:val="00E36E2B"/>
    <w:pPr>
      <w:tabs>
        <w:tab w:val="center" w:pos="4819"/>
        <w:tab w:val="right" w:pos="9638"/>
      </w:tabs>
    </w:pPr>
    <w:rPr>
      <w:sz w:val="20"/>
      <w:szCs w:val="20"/>
      <w:lang w:val="it-CH"/>
    </w:rPr>
  </w:style>
  <w:style w:type="character" w:customStyle="1" w:styleId="PidipaginaCarattere">
    <w:name w:val="Piè di pagina Carattere"/>
    <w:basedOn w:val="Carpredefinitoparagrafo"/>
    <w:link w:val="Pidipagina"/>
    <w:rsid w:val="00E36E2B"/>
    <w:rPr>
      <w:rFonts w:ascii="Times New Roman" w:eastAsia="Times New Roman" w:hAnsi="Times New Roman" w:cs="Times New Roman"/>
      <w:sz w:val="20"/>
      <w:szCs w:val="20"/>
      <w:lang w:val="it-CH" w:eastAsia="it-IT"/>
    </w:rPr>
  </w:style>
  <w:style w:type="character" w:styleId="Enfasigrassetto">
    <w:name w:val="Strong"/>
    <w:qFormat/>
    <w:rsid w:val="00E36E2B"/>
    <w:rPr>
      <w:b/>
      <w:bCs/>
    </w:rPr>
  </w:style>
  <w:style w:type="paragraph" w:styleId="Testocommento">
    <w:name w:val="annotation text"/>
    <w:basedOn w:val="Normale"/>
    <w:link w:val="TestocommentoCarattere"/>
    <w:semiHidden/>
    <w:rsid w:val="00E36E2B"/>
    <w:rPr>
      <w:rFonts w:ascii="Bookman Old Style" w:hAnsi="Bookman Old Style"/>
      <w:sz w:val="22"/>
      <w:szCs w:val="20"/>
      <w:lang w:val="it-CH"/>
    </w:rPr>
  </w:style>
  <w:style w:type="character" w:customStyle="1" w:styleId="TestocommentoCarattere">
    <w:name w:val="Testo commento Carattere"/>
    <w:basedOn w:val="Carpredefinitoparagrafo"/>
    <w:link w:val="Testocommento"/>
    <w:semiHidden/>
    <w:rsid w:val="00E36E2B"/>
    <w:rPr>
      <w:rFonts w:ascii="Bookman Old Style" w:eastAsia="Times New Roman" w:hAnsi="Bookman Old Style" w:cs="Times New Roman"/>
      <w:szCs w:val="20"/>
      <w:lang w:val="it-CH" w:eastAsia="it-IT"/>
    </w:rPr>
  </w:style>
  <w:style w:type="paragraph" w:styleId="Testonotaapidipagina">
    <w:name w:val="footnote text"/>
    <w:basedOn w:val="Normale"/>
    <w:link w:val="TestonotaapidipaginaCarattere"/>
    <w:semiHidden/>
    <w:rsid w:val="00E36E2B"/>
    <w:rPr>
      <w:rFonts w:ascii="Bookman Old Style" w:hAnsi="Bookman Old Style"/>
      <w:sz w:val="16"/>
      <w:szCs w:val="20"/>
      <w:lang w:val="it-CH"/>
    </w:rPr>
  </w:style>
  <w:style w:type="character" w:customStyle="1" w:styleId="TestonotaapidipaginaCarattere">
    <w:name w:val="Testo nota a piè di pagina Carattere"/>
    <w:basedOn w:val="Carpredefinitoparagrafo"/>
    <w:link w:val="Testonotaapidipagina"/>
    <w:semiHidden/>
    <w:rsid w:val="00E36E2B"/>
    <w:rPr>
      <w:rFonts w:ascii="Bookman Old Style" w:eastAsia="Times New Roman" w:hAnsi="Bookman Old Style" w:cs="Times New Roman"/>
      <w:sz w:val="16"/>
      <w:szCs w:val="20"/>
      <w:lang w:val="it-CH" w:eastAsia="it-IT"/>
    </w:rPr>
  </w:style>
  <w:style w:type="character" w:styleId="Numeropagina">
    <w:name w:val="page number"/>
    <w:basedOn w:val="Carpredefinitoparagrafo"/>
    <w:rsid w:val="00E36E2B"/>
  </w:style>
  <w:style w:type="paragraph" w:styleId="Corpodeltesto3">
    <w:name w:val="Body Text 3"/>
    <w:basedOn w:val="Normale"/>
    <w:link w:val="Corpodeltesto3Carattere"/>
    <w:rsid w:val="00E36E2B"/>
    <w:pPr>
      <w:spacing w:after="120"/>
    </w:pPr>
    <w:rPr>
      <w:sz w:val="16"/>
      <w:szCs w:val="16"/>
    </w:rPr>
  </w:style>
  <w:style w:type="character" w:customStyle="1" w:styleId="Corpodeltesto3Carattere">
    <w:name w:val="Corpo del testo 3 Carattere"/>
    <w:basedOn w:val="Carpredefinitoparagrafo"/>
    <w:link w:val="Corpodeltesto3"/>
    <w:rsid w:val="00E36E2B"/>
    <w:rPr>
      <w:rFonts w:ascii="Times New Roman" w:eastAsia="Times New Roman" w:hAnsi="Times New Roman" w:cs="Times New Roman"/>
      <w:sz w:val="16"/>
      <w:szCs w:val="16"/>
      <w:lang w:eastAsia="it-IT"/>
    </w:rPr>
  </w:style>
  <w:style w:type="paragraph" w:customStyle="1" w:styleId="LTCtesto">
    <w:name w:val="LTC testo"/>
    <w:basedOn w:val="Normale"/>
    <w:rsid w:val="00E36E2B"/>
    <w:pPr>
      <w:jc w:val="both"/>
    </w:pPr>
    <w:rPr>
      <w:rFonts w:ascii="Arial Narrow" w:hAnsi="Arial Narrow"/>
      <w:sz w:val="22"/>
      <w:szCs w:val="20"/>
    </w:rPr>
  </w:style>
  <w:style w:type="paragraph" w:styleId="Intestazione">
    <w:name w:val="header"/>
    <w:basedOn w:val="Normale"/>
    <w:link w:val="IntestazioneCarattere"/>
    <w:rsid w:val="00E36E2B"/>
    <w:pPr>
      <w:tabs>
        <w:tab w:val="center" w:pos="4819"/>
        <w:tab w:val="right" w:pos="9638"/>
      </w:tabs>
    </w:pPr>
  </w:style>
  <w:style w:type="character" w:customStyle="1" w:styleId="IntestazioneCarattere">
    <w:name w:val="Intestazione Carattere"/>
    <w:basedOn w:val="Carpredefinitoparagrafo"/>
    <w:link w:val="Intestazione"/>
    <w:rsid w:val="00E36E2B"/>
    <w:rPr>
      <w:rFonts w:ascii="Times New Roman" w:eastAsia="Times New Roman" w:hAnsi="Times New Roman" w:cs="Times New Roman"/>
      <w:sz w:val="24"/>
      <w:szCs w:val="24"/>
      <w:lang w:eastAsia="it-IT"/>
    </w:rPr>
  </w:style>
  <w:style w:type="paragraph" w:styleId="Mappadocumento">
    <w:name w:val="Document Map"/>
    <w:basedOn w:val="Normale"/>
    <w:link w:val="MappadocumentoCarattere"/>
    <w:semiHidden/>
    <w:rsid w:val="00E36E2B"/>
    <w:pPr>
      <w:shd w:val="clear" w:color="auto" w:fill="000080"/>
    </w:pPr>
    <w:rPr>
      <w:rFonts w:ascii="Tahoma" w:hAnsi="Tahoma" w:cs="Tahoma"/>
      <w:sz w:val="20"/>
      <w:szCs w:val="20"/>
    </w:rPr>
  </w:style>
  <w:style w:type="character" w:customStyle="1" w:styleId="MappadocumentoCarattere">
    <w:name w:val="Mappa documento Carattere"/>
    <w:basedOn w:val="Carpredefinitoparagrafo"/>
    <w:link w:val="Mappadocumento"/>
    <w:semiHidden/>
    <w:rsid w:val="00E36E2B"/>
    <w:rPr>
      <w:rFonts w:ascii="Tahoma" w:eastAsia="Times New Roman" w:hAnsi="Tahoma" w:cs="Tahoma"/>
      <w:sz w:val="20"/>
      <w:szCs w:val="20"/>
      <w:shd w:val="clear" w:color="auto" w:fill="000080"/>
      <w:lang w:eastAsia="it-IT"/>
    </w:rPr>
  </w:style>
  <w:style w:type="character" w:styleId="Rimandocommento">
    <w:name w:val="annotation reference"/>
    <w:semiHidden/>
    <w:rsid w:val="00E36E2B"/>
    <w:rPr>
      <w:sz w:val="16"/>
      <w:szCs w:val="16"/>
    </w:rPr>
  </w:style>
  <w:style w:type="paragraph" w:styleId="Soggettocommento">
    <w:name w:val="annotation subject"/>
    <w:basedOn w:val="Testocommento"/>
    <w:next w:val="Testocommento"/>
    <w:link w:val="SoggettocommentoCarattere"/>
    <w:semiHidden/>
    <w:rsid w:val="00E36E2B"/>
    <w:rPr>
      <w:rFonts w:ascii="Times New Roman" w:hAnsi="Times New Roman"/>
      <w:b/>
      <w:bCs/>
      <w:sz w:val="20"/>
      <w:lang w:val="it-IT"/>
    </w:rPr>
  </w:style>
  <w:style w:type="character" w:customStyle="1" w:styleId="SoggettocommentoCarattere">
    <w:name w:val="Soggetto commento Carattere"/>
    <w:basedOn w:val="TestocommentoCarattere"/>
    <w:link w:val="Soggettocommento"/>
    <w:semiHidden/>
    <w:rsid w:val="00E36E2B"/>
    <w:rPr>
      <w:rFonts w:ascii="Times New Roman" w:eastAsia="Times New Roman" w:hAnsi="Times New Roman" w:cs="Times New Roman"/>
      <w:b/>
      <w:bCs/>
      <w:sz w:val="20"/>
      <w:szCs w:val="20"/>
      <w:lang w:val="it-CH" w:eastAsia="it-IT"/>
    </w:rPr>
  </w:style>
  <w:style w:type="paragraph" w:styleId="Testofumetto">
    <w:name w:val="Balloon Text"/>
    <w:basedOn w:val="Normale"/>
    <w:link w:val="TestofumettoCarattere"/>
    <w:semiHidden/>
    <w:rsid w:val="00E36E2B"/>
    <w:rPr>
      <w:rFonts w:ascii="Tahoma" w:hAnsi="Tahoma" w:cs="Tahoma"/>
      <w:sz w:val="16"/>
      <w:szCs w:val="16"/>
    </w:rPr>
  </w:style>
  <w:style w:type="character" w:customStyle="1" w:styleId="TestofumettoCarattere">
    <w:name w:val="Testo fumetto Carattere"/>
    <w:basedOn w:val="Carpredefinitoparagrafo"/>
    <w:link w:val="Testofumetto"/>
    <w:semiHidden/>
    <w:rsid w:val="00E36E2B"/>
    <w:rPr>
      <w:rFonts w:ascii="Tahoma" w:eastAsia="Times New Roman" w:hAnsi="Tahoma" w:cs="Tahoma"/>
      <w:sz w:val="16"/>
      <w:szCs w:val="16"/>
      <w:lang w:eastAsia="it-IT"/>
    </w:rPr>
  </w:style>
  <w:style w:type="paragraph" w:customStyle="1" w:styleId="Default">
    <w:name w:val="Default"/>
    <w:rsid w:val="00E36E2B"/>
    <w:pPr>
      <w:autoSpaceDE w:val="0"/>
      <w:autoSpaceDN w:val="0"/>
      <w:adjustRightInd w:val="0"/>
      <w:spacing w:after="0" w:line="240" w:lineRule="auto"/>
    </w:pPr>
    <w:rPr>
      <w:rFonts w:ascii="DPLLKJ+TimesNewRoman,Bold" w:eastAsia="Times New Roman" w:hAnsi="DPLLKJ+TimesNewRoman,Bold" w:cs="DPLLKJ+TimesNewRoman,Bold"/>
      <w:color w:val="000000"/>
      <w:sz w:val="24"/>
      <w:szCs w:val="24"/>
      <w:lang w:eastAsia="it-IT"/>
    </w:rPr>
  </w:style>
  <w:style w:type="character" w:styleId="Collegamentoipertestuale">
    <w:name w:val="Hyperlink"/>
    <w:basedOn w:val="Carpredefinitoparagrafo"/>
    <w:rsid w:val="00E36E2B"/>
    <w:rPr>
      <w:color w:val="0000FF"/>
      <w:u w:val="single"/>
    </w:rPr>
  </w:style>
  <w:style w:type="paragraph" w:styleId="PreformattatoHTML">
    <w:name w:val="HTML Preformatted"/>
    <w:basedOn w:val="Normale"/>
    <w:link w:val="PreformattatoHTMLCarattere"/>
    <w:rsid w:val="00E3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E36E2B"/>
    <w:rPr>
      <w:rFonts w:ascii="Courier New" w:eastAsia="Times New Roman" w:hAnsi="Courier New" w:cs="Courier New"/>
      <w:sz w:val="20"/>
      <w:szCs w:val="20"/>
      <w:lang w:eastAsia="it-IT"/>
    </w:rPr>
  </w:style>
  <w:style w:type="paragraph" w:styleId="Paragrafoelenco">
    <w:name w:val="List Paragraph"/>
    <w:basedOn w:val="Normale"/>
    <w:uiPriority w:val="34"/>
    <w:qFormat/>
    <w:rsid w:val="00E36E2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9129</Words>
  <Characters>52039</Characters>
  <Application>Microsoft Office Word</Application>
  <DocSecurity>0</DocSecurity>
  <Lines>433</Lines>
  <Paragraphs>122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Merola</dc:creator>
  <cp:lastModifiedBy>Saverio</cp:lastModifiedBy>
  <cp:revision>2</cp:revision>
  <dcterms:created xsi:type="dcterms:W3CDTF">2013-10-26T08:59:00Z</dcterms:created>
  <dcterms:modified xsi:type="dcterms:W3CDTF">2013-10-26T08:59:00Z</dcterms:modified>
</cp:coreProperties>
</file>